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5222" w14:textId="24A56B5E" w:rsidR="00001264" w:rsidRDefault="00001264">
      <w:pPr>
        <w:pStyle w:val="Brdtekst"/>
        <w:spacing w:before="157"/>
        <w:jc w:val="left"/>
        <w:rPr>
          <w:sz w:val="20"/>
        </w:rPr>
      </w:pPr>
    </w:p>
    <w:p w14:paraId="1DCF9887" w14:textId="77777777" w:rsidR="00001264" w:rsidRDefault="00167D45">
      <w:pPr>
        <w:pStyle w:val="Brdtekst"/>
        <w:spacing w:line="217" w:lineRule="exact"/>
        <w:ind w:left="8778"/>
        <w:jc w:val="left"/>
        <w:rPr>
          <w:position w:val="-3"/>
          <w:sz w:val="20"/>
        </w:rPr>
      </w:pPr>
      <w:r>
        <w:rPr>
          <w:noProof/>
          <w:position w:val="-3"/>
          <w:sz w:val="20"/>
        </w:rPr>
        <w:drawing>
          <wp:inline distT="0" distB="0" distL="0" distR="0" wp14:anchorId="179147CA" wp14:editId="3B7BD40B">
            <wp:extent cx="1329238" cy="1381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29238" cy="138112"/>
                    </a:xfrm>
                    <a:prstGeom prst="rect">
                      <a:avLst/>
                    </a:prstGeom>
                  </pic:spPr>
                </pic:pic>
              </a:graphicData>
            </a:graphic>
          </wp:inline>
        </w:drawing>
      </w:r>
    </w:p>
    <w:p w14:paraId="401B3309" w14:textId="77777777" w:rsidR="00001264" w:rsidRDefault="00167D45">
      <w:pPr>
        <w:spacing w:before="43"/>
        <w:ind w:left="39"/>
        <w:rPr>
          <w:b/>
          <w:sz w:val="23"/>
        </w:rPr>
      </w:pPr>
      <w:r>
        <w:rPr>
          <w:b/>
          <w:noProof/>
          <w:sz w:val="23"/>
        </w:rPr>
        <mc:AlternateContent>
          <mc:Choice Requires="wps">
            <w:drawing>
              <wp:anchor distT="0" distB="0" distL="0" distR="0" simplePos="0" relativeHeight="15730176" behindDoc="0" locked="0" layoutInCell="1" allowOverlap="1" wp14:anchorId="188284A9" wp14:editId="622818FD">
                <wp:simplePos x="0" y="0"/>
                <wp:positionH relativeFrom="page">
                  <wp:posOffset>5800207</wp:posOffset>
                </wp:positionH>
                <wp:positionV relativeFrom="paragraph">
                  <wp:posOffset>-396738</wp:posOffset>
                </wp:positionV>
                <wp:extent cx="1402080" cy="3746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2080" cy="37465"/>
                        </a:xfrm>
                        <a:custGeom>
                          <a:avLst/>
                          <a:gdLst/>
                          <a:ahLst/>
                          <a:cxnLst/>
                          <a:rect l="l" t="t" r="r" b="b"/>
                          <a:pathLst>
                            <a:path w="1402080" h="37465">
                              <a:moveTo>
                                <a:pt x="1402085" y="0"/>
                              </a:moveTo>
                              <a:lnTo>
                                <a:pt x="0" y="0"/>
                              </a:lnTo>
                              <a:lnTo>
                                <a:pt x="0" y="36896"/>
                              </a:lnTo>
                              <a:lnTo>
                                <a:pt x="1402085" y="36896"/>
                              </a:lnTo>
                              <a:lnTo>
                                <a:pt x="1402085" y="0"/>
                              </a:lnTo>
                              <a:close/>
                            </a:path>
                          </a:pathLst>
                        </a:custGeom>
                        <a:solidFill>
                          <a:srgbClr val="176C40"/>
                        </a:solidFill>
                      </wps:spPr>
                      <wps:bodyPr wrap="square" lIns="0" tIns="0" rIns="0" bIns="0" rtlCol="0">
                        <a:prstTxWarp prst="textNoShape">
                          <a:avLst/>
                        </a:prstTxWarp>
                        <a:noAutofit/>
                      </wps:bodyPr>
                    </wps:wsp>
                  </a:graphicData>
                </a:graphic>
              </wp:anchor>
            </w:drawing>
          </mc:Choice>
          <mc:Fallback>
            <w:pict>
              <v:shape w14:anchorId="5274A87A" id="Graphic 2" o:spid="_x0000_s1026" style="position:absolute;margin-left:456.7pt;margin-top:-31.25pt;width:110.4pt;height:2.95pt;z-index:15730176;visibility:visible;mso-wrap-style:square;mso-wrap-distance-left:0;mso-wrap-distance-top:0;mso-wrap-distance-right:0;mso-wrap-distance-bottom:0;mso-position-horizontal:absolute;mso-position-horizontal-relative:page;mso-position-vertical:absolute;mso-position-vertical-relative:text;v-text-anchor:top" coordsize="140208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" path="m1402085,l,,,36896r1402085,l1402085,xe" fillcolor="#176c40" stroked="f">
                <v:path arrowok="t"/>
                <w10:wrap anchorx="page"/>
              </v:shape>
            </w:pict>
          </mc:Fallback>
        </mc:AlternateContent>
      </w:r>
      <w:r>
        <w:rPr>
          <w:b/>
          <w:spacing w:val="-2"/>
          <w:sz w:val="23"/>
        </w:rPr>
        <w:t>Print Date: June 24, 2025</w:t>
      </w:r>
    </w:p>
    <w:p w14:paraId="6E81A3E4" w14:textId="77777777" w:rsidR="00001264" w:rsidRDefault="00001264">
      <w:pPr>
        <w:pStyle w:val="Brdtekst"/>
        <w:jc w:val="left"/>
        <w:rPr>
          <w:b/>
          <w:sz w:val="23"/>
        </w:rPr>
      </w:pPr>
    </w:p>
    <w:p w14:paraId="7E794C39" w14:textId="77777777" w:rsidR="00001264" w:rsidRDefault="00001264">
      <w:pPr>
        <w:pStyle w:val="Brdtekst"/>
        <w:jc w:val="left"/>
        <w:rPr>
          <w:b/>
          <w:sz w:val="23"/>
        </w:rPr>
      </w:pPr>
    </w:p>
    <w:p w14:paraId="0E6E2437" w14:textId="77777777" w:rsidR="00001264" w:rsidRDefault="00001264">
      <w:pPr>
        <w:pStyle w:val="Brdtekst"/>
        <w:jc w:val="left"/>
        <w:rPr>
          <w:b/>
          <w:sz w:val="23"/>
        </w:rPr>
      </w:pPr>
    </w:p>
    <w:p w14:paraId="32700F0C" w14:textId="77777777" w:rsidR="00001264" w:rsidRDefault="00001264">
      <w:pPr>
        <w:pStyle w:val="Brdtekst"/>
        <w:jc w:val="left"/>
        <w:rPr>
          <w:b/>
          <w:sz w:val="23"/>
        </w:rPr>
      </w:pPr>
    </w:p>
    <w:p w14:paraId="0FFE1AA0" w14:textId="77777777" w:rsidR="00001264" w:rsidRDefault="00001264">
      <w:pPr>
        <w:pStyle w:val="Brdtekst"/>
        <w:jc w:val="left"/>
        <w:rPr>
          <w:b/>
          <w:sz w:val="23"/>
        </w:rPr>
      </w:pPr>
    </w:p>
    <w:p w14:paraId="2B31E3B6" w14:textId="762CFA6E" w:rsidR="00AE548D" w:rsidRDefault="00AE548D" w:rsidP="00AE548D">
      <w:bookmarkStart w:id="0" w:name="_Hlk201750414"/>
      <w:r w:rsidRPr="00D822F6">
        <w:rPr>
          <w:highlight w:val="yellow"/>
        </w:rPr>
        <w:t>Th</w:t>
      </w:r>
      <w:r>
        <w:rPr>
          <w:highlight w:val="yellow"/>
        </w:rPr>
        <w:t>is</w:t>
      </w:r>
      <w:r w:rsidRPr="00D822F6">
        <w:rPr>
          <w:highlight w:val="yellow"/>
        </w:rPr>
        <w:t xml:space="preserve"> translation is not </w:t>
      </w:r>
      <w:r>
        <w:rPr>
          <w:highlight w:val="yellow"/>
        </w:rPr>
        <w:t xml:space="preserve">an </w:t>
      </w:r>
      <w:r w:rsidRPr="00D822F6">
        <w:rPr>
          <w:highlight w:val="yellow"/>
        </w:rPr>
        <w:t xml:space="preserve">official </w:t>
      </w:r>
      <w:r>
        <w:rPr>
          <w:highlight w:val="yellow"/>
        </w:rPr>
        <w:t xml:space="preserve">translation. It </w:t>
      </w:r>
      <w:r w:rsidRPr="00D822F6">
        <w:rPr>
          <w:highlight w:val="yellow"/>
        </w:rPr>
        <w:t>is made by a translation tool and thus can contain errors.</w:t>
      </w:r>
    </w:p>
    <w:bookmarkEnd w:id="0"/>
    <w:p w14:paraId="225028BE" w14:textId="77777777" w:rsidR="00001264" w:rsidRDefault="00001264">
      <w:pPr>
        <w:pStyle w:val="Brdtekst"/>
        <w:jc w:val="left"/>
        <w:rPr>
          <w:b/>
          <w:sz w:val="23"/>
        </w:rPr>
      </w:pPr>
    </w:p>
    <w:p w14:paraId="7837D8D6" w14:textId="77777777" w:rsidR="00001264" w:rsidRDefault="00001264">
      <w:pPr>
        <w:pStyle w:val="Brdtekst"/>
        <w:spacing w:before="209"/>
        <w:jc w:val="left"/>
        <w:rPr>
          <w:b/>
          <w:sz w:val="23"/>
        </w:rPr>
      </w:pPr>
    </w:p>
    <w:p w14:paraId="11868574" w14:textId="07323DED" w:rsidR="00001264" w:rsidRDefault="00167D45">
      <w:pPr>
        <w:ind w:left="39"/>
        <w:rPr>
          <w:b/>
          <w:sz w:val="23"/>
        </w:rPr>
      </w:pPr>
      <w:r>
        <w:rPr>
          <w:b/>
          <w:sz w:val="23"/>
        </w:rPr>
        <w:t xml:space="preserve">BEK nr 653 </w:t>
      </w:r>
      <w:r w:rsidR="001E6014">
        <w:rPr>
          <w:b/>
          <w:sz w:val="23"/>
        </w:rPr>
        <w:t>o</w:t>
      </w:r>
      <w:r>
        <w:rPr>
          <w:b/>
          <w:sz w:val="23"/>
        </w:rPr>
        <w:t>f 04/06/2025 (Current)</w:t>
      </w:r>
    </w:p>
    <w:p w14:paraId="70BA626B" w14:textId="77777777" w:rsidR="00001264" w:rsidRDefault="00167D45">
      <w:pPr>
        <w:pStyle w:val="Titel"/>
        <w:spacing w:line="249" w:lineRule="auto"/>
      </w:pPr>
      <w:r>
        <w:rPr>
          <w:color w:val="707070"/>
          <w:spacing w:val="-4"/>
        </w:rPr>
        <w:t>Executive Order on Validation, Verification and Disclosure of Domain Name Registration Data</w:t>
      </w:r>
    </w:p>
    <w:p w14:paraId="395E9450" w14:textId="77777777" w:rsidR="00001264" w:rsidRDefault="00167D45">
      <w:pPr>
        <w:pStyle w:val="Brdtekst"/>
        <w:spacing w:before="95"/>
        <w:jc w:val="left"/>
        <w:rPr>
          <w:b/>
          <w:sz w:val="20"/>
        </w:rPr>
      </w:pPr>
      <w:r>
        <w:rPr>
          <w:b/>
          <w:noProof/>
          <w:sz w:val="20"/>
        </w:rPr>
        <mc:AlternateContent>
          <mc:Choice Requires="wps">
            <w:drawing>
              <wp:anchor distT="0" distB="0" distL="0" distR="0" simplePos="0" relativeHeight="487587840" behindDoc="1" locked="0" layoutInCell="1" allowOverlap="1" wp14:anchorId="37539AB2" wp14:editId="1D627103">
                <wp:simplePos x="0" y="0"/>
                <wp:positionH relativeFrom="page">
                  <wp:posOffset>295175</wp:posOffset>
                </wp:positionH>
                <wp:positionV relativeFrom="paragraph">
                  <wp:posOffset>222067</wp:posOffset>
                </wp:positionV>
                <wp:extent cx="1395095" cy="3746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5095" cy="37465"/>
                        </a:xfrm>
                        <a:custGeom>
                          <a:avLst/>
                          <a:gdLst/>
                          <a:ahLst/>
                          <a:cxnLst/>
                          <a:rect l="l" t="t" r="r" b="b"/>
                          <a:pathLst>
                            <a:path w="1395095" h="37465">
                              <a:moveTo>
                                <a:pt x="1394706" y="0"/>
                              </a:moveTo>
                              <a:lnTo>
                                <a:pt x="0" y="0"/>
                              </a:lnTo>
                              <a:lnTo>
                                <a:pt x="0" y="36896"/>
                              </a:lnTo>
                              <a:lnTo>
                                <a:pt x="1394706" y="36896"/>
                              </a:lnTo>
                              <a:lnTo>
                                <a:pt x="1394706" y="0"/>
                              </a:lnTo>
                              <a:close/>
                            </a:path>
                          </a:pathLst>
                        </a:custGeom>
                        <a:solidFill>
                          <a:srgbClr val="176C40"/>
                        </a:solidFill>
                      </wps:spPr>
                      <wps:bodyPr wrap="square" lIns="0" tIns="0" rIns="0" bIns="0" rtlCol="0">
                        <a:prstTxWarp prst="textNoShape">
                          <a:avLst/>
                        </a:prstTxWarp>
                        <a:noAutofit/>
                      </wps:bodyPr>
                    </wps:wsp>
                  </a:graphicData>
                </a:graphic>
              </wp:anchor>
            </w:drawing>
          </mc:Choice>
          <mc:Fallback>
            <w:pict>
              <v:shape w14:anchorId="454CF615" id="Graphic 3" o:spid="_x0000_s1026" style="position:absolute;margin-left:23.25pt;margin-top:17.5pt;width:109.85pt;height:2.95pt;z-index:-15728640;visibility:visible;mso-wrap-style:square;mso-wrap-distance-left:0;mso-wrap-distance-top:0;mso-wrap-distance-right:0;mso-wrap-distance-bottom:0;mso-position-horizontal:absolute;mso-position-horizontal-relative:page;mso-position-vertical:absolute;mso-position-vertical-relative:text;v-text-anchor:top" coordsize="1395095,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" path="m1394706,l,,,36896r1394706,l1394706,xe" fillcolor="#176c40" stroked="f">
                <v:path arrowok="t"/>
                <w10:wrap type="topAndBottom" anchorx="page"/>
              </v:shape>
            </w:pict>
          </mc:Fallback>
        </mc:AlternateContent>
      </w:r>
    </w:p>
    <w:p w14:paraId="7C6C9B33" w14:textId="77777777" w:rsidR="00001264" w:rsidRDefault="00001264">
      <w:pPr>
        <w:pStyle w:val="Brdtekst"/>
        <w:jc w:val="left"/>
        <w:rPr>
          <w:b/>
          <w:sz w:val="20"/>
        </w:rPr>
      </w:pPr>
    </w:p>
    <w:p w14:paraId="6D8AE112" w14:textId="77777777" w:rsidR="00001264" w:rsidRDefault="00001264">
      <w:pPr>
        <w:pStyle w:val="Brdtekst"/>
        <w:jc w:val="left"/>
        <w:rPr>
          <w:b/>
          <w:sz w:val="20"/>
        </w:rPr>
      </w:pPr>
    </w:p>
    <w:p w14:paraId="03E95EF6" w14:textId="77777777" w:rsidR="00001264" w:rsidRDefault="00001264">
      <w:pPr>
        <w:pStyle w:val="Brdtekst"/>
        <w:jc w:val="left"/>
        <w:rPr>
          <w:b/>
          <w:sz w:val="20"/>
        </w:rPr>
      </w:pPr>
    </w:p>
    <w:p w14:paraId="2AECBABE" w14:textId="77777777" w:rsidR="00001264" w:rsidRDefault="00001264">
      <w:pPr>
        <w:pStyle w:val="Brdtekst"/>
        <w:jc w:val="left"/>
        <w:rPr>
          <w:b/>
          <w:sz w:val="20"/>
        </w:rPr>
      </w:pPr>
    </w:p>
    <w:p w14:paraId="56C4C76A" w14:textId="77777777" w:rsidR="00001264" w:rsidRDefault="00001264">
      <w:pPr>
        <w:pStyle w:val="Brdtekst"/>
        <w:jc w:val="left"/>
        <w:rPr>
          <w:b/>
          <w:sz w:val="20"/>
        </w:rPr>
      </w:pPr>
    </w:p>
    <w:p w14:paraId="562316C8" w14:textId="77777777" w:rsidR="00001264" w:rsidRDefault="00001264">
      <w:pPr>
        <w:pStyle w:val="Brdtekst"/>
        <w:jc w:val="left"/>
        <w:rPr>
          <w:b/>
          <w:sz w:val="20"/>
        </w:rPr>
      </w:pPr>
    </w:p>
    <w:p w14:paraId="1B2DD85E" w14:textId="77777777" w:rsidR="00001264" w:rsidRDefault="00167D45">
      <w:pPr>
        <w:pStyle w:val="Brdtekst"/>
        <w:spacing w:before="109"/>
        <w:jc w:val="left"/>
        <w:rPr>
          <w:b/>
          <w:sz w:val="20"/>
        </w:rPr>
      </w:pPr>
      <w:r>
        <w:rPr>
          <w:b/>
          <w:noProof/>
          <w:sz w:val="20"/>
        </w:rPr>
        <mc:AlternateContent>
          <mc:Choice Requires="wps">
            <w:drawing>
              <wp:anchor distT="0" distB="0" distL="0" distR="0" simplePos="0" relativeHeight="487588352" behindDoc="1" locked="0" layoutInCell="1" allowOverlap="1" wp14:anchorId="64964B77" wp14:editId="74DA0A17">
                <wp:simplePos x="0" y="0"/>
                <wp:positionH relativeFrom="page">
                  <wp:posOffset>295175</wp:posOffset>
                </wp:positionH>
                <wp:positionV relativeFrom="paragraph">
                  <wp:posOffset>230492</wp:posOffset>
                </wp:positionV>
                <wp:extent cx="3424554" cy="64960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4554" cy="649605"/>
                        </a:xfrm>
                        <a:prstGeom prst="rect">
                          <a:avLst/>
                        </a:prstGeom>
                        <a:solidFill>
                          <a:srgbClr val="F1F1F1"/>
                        </a:solidFill>
                      </wps:spPr>
                      <wps:txbx>
                        <w:txbxContent>
                          <w:p w14:paraId="719970D6" w14:textId="77777777" w:rsidR="00001264" w:rsidRDefault="00001264">
                            <w:pPr>
                              <w:pStyle w:val="Brdtekst"/>
                              <w:spacing w:before="89"/>
                              <w:jc w:val="left"/>
                              <w:rPr>
                                <w:b/>
                                <w:color w:val="000000"/>
                                <w:sz w:val="18"/>
                              </w:rPr>
                            </w:pPr>
                          </w:p>
                          <w:p w14:paraId="268AAF97" w14:textId="764D45AF" w:rsidR="00001264" w:rsidRDefault="00167D45">
                            <w:pPr>
                              <w:ind w:left="290"/>
                              <w:rPr>
                                <w:rFonts w:ascii="Arial"/>
                                <w:color w:val="000000"/>
                                <w:sz w:val="18"/>
                              </w:rPr>
                            </w:pPr>
                            <w:r>
                              <w:rPr>
                                <w:rFonts w:ascii="Arial"/>
                                <w:color w:val="000000"/>
                                <w:sz w:val="18"/>
                              </w:rPr>
                              <w:t>Ministry: Ministry of D</w:t>
                            </w:r>
                            <w:r w:rsidR="00565480">
                              <w:rPr>
                                <w:rFonts w:ascii="Arial"/>
                                <w:color w:val="000000"/>
                                <w:sz w:val="18"/>
                              </w:rPr>
                              <w:t>igital Affairs</w:t>
                            </w:r>
                          </w:p>
                        </w:txbxContent>
                      </wps:txbx>
                      <wps:bodyPr wrap="square" lIns="0" tIns="0" rIns="0" bIns="0" rtlCol="0">
                        <a:noAutofit/>
                      </wps:bodyPr>
                    </wps:wsp>
                  </a:graphicData>
                </a:graphic>
              </wp:anchor>
            </w:drawing>
          </mc:Choice>
          <mc:Fallback>
            <w:pict>
              <v:shapetype w14:anchorId="64964B77" id="_x0000_t202" coordsize="21600,21600" o:spt="202" path="m,l,21600r21600,l21600,xe">
                <v:stroke joinstyle="miter"/>
                <v:path gradientshapeok="t" o:connecttype="rect"/>
              </v:shapetype>
              <v:shape id="Textbox 4" o:spid="_x0000_s1026" type="#_x0000_t202" style="position:absolute;margin-left:23.25pt;margin-top:18.15pt;width:269.65pt;height:51.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" fillcolor="#f1f1f1" stroked="f">
                <v:textbox inset="0,0,0,0">
                  <w:txbxContent>
                    <w:p w14:paraId="719970D6" w14:textId="77777777" w:rsidR="00001264" w:rsidRDefault="00001264">
                      <w:pPr>
                        <w:pStyle w:val="Brdtekst"/>
                        <w:spacing w:before="89"/>
                        <w:jc w:val="left"/>
                        <w:rPr>
                          <w:b/>
                          <w:color w:val="000000"/>
                          <w:sz w:val="18"/>
                        </w:rPr>
                      </w:pPr>
                    </w:p>
                    <w:p w14:paraId="268AAF97" w14:textId="764D45AF" w:rsidR="00001264" w:rsidRDefault="00167D45">
                      <w:pPr>
                        <w:ind w:left="290"/>
                        <w:rPr>
                          <w:rFonts w:ascii="Arial"/>
                          <w:color w:val="000000"/>
                          <w:sz w:val="18"/>
                        </w:rPr>
                      </w:pPr>
                      <w:r>
                        <w:rPr>
                          <w:rFonts w:ascii="Arial"/>
                          <w:color w:val="000000"/>
                          <w:sz w:val="18"/>
                        </w:rPr>
                        <w:t>Ministry: Ministry of D</w:t>
                      </w:r>
                      <w:r w:rsidR="00565480">
                        <w:rPr>
                          <w:rFonts w:ascii="Arial"/>
                          <w:color w:val="000000"/>
                          <w:sz w:val="18"/>
                        </w:rPr>
                        <w:t>igital Affairs</w:t>
                      </w:r>
                    </w:p>
                  </w:txbxContent>
                </v:textbox>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6BC209D7" wp14:editId="0E00761E">
                <wp:simplePos x="0" y="0"/>
                <wp:positionH relativeFrom="page">
                  <wp:posOffset>3778251</wp:posOffset>
                </wp:positionH>
                <wp:positionV relativeFrom="paragraph">
                  <wp:posOffset>230492</wp:posOffset>
                </wp:positionV>
                <wp:extent cx="3424554" cy="64960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4554" cy="649605"/>
                        </a:xfrm>
                        <a:prstGeom prst="rect">
                          <a:avLst/>
                        </a:prstGeom>
                        <a:solidFill>
                          <a:srgbClr val="F1F1F1"/>
                        </a:solidFill>
                      </wps:spPr>
                      <wps:txbx>
                        <w:txbxContent>
                          <w:p w14:paraId="6E26E668" w14:textId="77777777" w:rsidR="00001264" w:rsidRDefault="00001264">
                            <w:pPr>
                              <w:pStyle w:val="Brdtekst"/>
                              <w:spacing w:before="89"/>
                              <w:jc w:val="left"/>
                              <w:rPr>
                                <w:b/>
                                <w:color w:val="000000"/>
                                <w:sz w:val="18"/>
                              </w:rPr>
                            </w:pPr>
                          </w:p>
                          <w:p w14:paraId="6562276E" w14:textId="00370C6E" w:rsidR="00001264" w:rsidRDefault="00167D45">
                            <w:pPr>
                              <w:spacing w:line="256" w:lineRule="auto"/>
                              <w:ind w:left="290" w:right="1771"/>
                              <w:rPr>
                                <w:rFonts w:ascii="Arial" w:hAnsi="Arial"/>
                                <w:color w:val="000000"/>
                                <w:sz w:val="18"/>
                              </w:rPr>
                            </w:pPr>
                            <w:r>
                              <w:rPr>
                                <w:rFonts w:ascii="Arial" w:hAnsi="Arial"/>
                                <w:color w:val="000000"/>
                                <w:sz w:val="18"/>
                              </w:rPr>
                              <w:t xml:space="preserve">Record number: </w:t>
                            </w:r>
                            <w:r w:rsidR="00565480">
                              <w:rPr>
                                <w:rFonts w:ascii="Arial"/>
                                <w:color w:val="000000"/>
                                <w:sz w:val="18"/>
                              </w:rPr>
                              <w:t>Ministry of Digital Affairs</w:t>
                            </w:r>
                            <w:r w:rsidR="00565480">
                              <w:rPr>
                                <w:rFonts w:ascii="Arial" w:hAnsi="Arial"/>
                                <w:color w:val="000000"/>
                                <w:spacing w:val="-2"/>
                                <w:w w:val="105"/>
                                <w:sz w:val="18"/>
                              </w:rPr>
                              <w:t xml:space="preserve"> </w:t>
                            </w:r>
                            <w:r>
                              <w:rPr>
                                <w:rFonts w:ascii="Arial" w:hAnsi="Arial"/>
                                <w:color w:val="000000"/>
                                <w:spacing w:val="-2"/>
                                <w:w w:val="105"/>
                                <w:sz w:val="18"/>
                              </w:rPr>
                              <w:t>Agency for Digit</w:t>
                            </w:r>
                            <w:r w:rsidR="00632AF6">
                              <w:rPr>
                                <w:rFonts w:ascii="Arial" w:hAnsi="Arial"/>
                                <w:color w:val="000000"/>
                                <w:spacing w:val="-2"/>
                                <w:w w:val="105"/>
                                <w:sz w:val="18"/>
                              </w:rPr>
                              <w:t>al Government</w:t>
                            </w:r>
                            <w:r>
                              <w:rPr>
                                <w:rFonts w:ascii="Arial" w:hAnsi="Arial"/>
                                <w:color w:val="000000"/>
                                <w:spacing w:val="-2"/>
                                <w:w w:val="105"/>
                                <w:sz w:val="18"/>
                              </w:rPr>
                              <w:t>, j.nr 202413336</w:t>
                            </w:r>
                          </w:p>
                        </w:txbxContent>
                      </wps:txbx>
                      <wps:bodyPr wrap="square" lIns="0" tIns="0" rIns="0" bIns="0" rtlCol="0">
                        <a:noAutofit/>
                      </wps:bodyPr>
                    </wps:wsp>
                  </a:graphicData>
                </a:graphic>
              </wp:anchor>
            </w:drawing>
          </mc:Choice>
          <mc:Fallback>
            <w:pict>
              <v:shape w14:anchorId="6BC209D7" id="Textbox 5" o:spid="_x0000_s1027" type="#_x0000_t202" style="position:absolute;margin-left:297.5pt;margin-top:18.15pt;width:269.65pt;height:51.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" fillcolor="#f1f1f1" stroked="f">
                <v:textbox inset="0,0,0,0">
                  <w:txbxContent>
                    <w:p w14:paraId="6E26E668" w14:textId="77777777" w:rsidR="00001264" w:rsidRDefault="00001264">
                      <w:pPr>
                        <w:pStyle w:val="Brdtekst"/>
                        <w:spacing w:before="89"/>
                        <w:jc w:val="left"/>
                        <w:rPr>
                          <w:b/>
                          <w:color w:val="000000"/>
                          <w:sz w:val="18"/>
                        </w:rPr>
                      </w:pPr>
                    </w:p>
                    <w:p w14:paraId="6562276E" w14:textId="00370C6E" w:rsidR="00001264" w:rsidRDefault="00167D45">
                      <w:pPr>
                        <w:spacing w:line="256" w:lineRule="auto"/>
                        <w:ind w:left="290" w:right="1771"/>
                        <w:rPr>
                          <w:rFonts w:ascii="Arial" w:hAnsi="Arial"/>
                          <w:color w:val="000000"/>
                          <w:sz w:val="18"/>
                        </w:rPr>
                      </w:pPr>
                      <w:r>
                        <w:rPr>
                          <w:rFonts w:ascii="Arial" w:hAnsi="Arial"/>
                          <w:color w:val="000000"/>
                          <w:sz w:val="18"/>
                        </w:rPr>
                        <w:t xml:space="preserve">Record number: </w:t>
                      </w:r>
                      <w:r w:rsidR="00565480">
                        <w:rPr>
                          <w:rFonts w:ascii="Arial"/>
                          <w:color w:val="000000"/>
                          <w:sz w:val="18"/>
                        </w:rPr>
                        <w:t>Ministry of Digital Affairs</w:t>
                      </w:r>
                      <w:r w:rsidR="00565480">
                        <w:rPr>
                          <w:rFonts w:ascii="Arial" w:hAnsi="Arial"/>
                          <w:color w:val="000000"/>
                          <w:spacing w:val="-2"/>
                          <w:w w:val="105"/>
                          <w:sz w:val="18"/>
                        </w:rPr>
                        <w:t xml:space="preserve"> </w:t>
                      </w:r>
                      <w:r>
                        <w:rPr>
                          <w:rFonts w:ascii="Arial" w:hAnsi="Arial"/>
                          <w:color w:val="000000"/>
                          <w:spacing w:val="-2"/>
                          <w:w w:val="105"/>
                          <w:sz w:val="18"/>
                        </w:rPr>
                        <w:t>Agency for Digit</w:t>
                      </w:r>
                      <w:r w:rsidR="00632AF6">
                        <w:rPr>
                          <w:rFonts w:ascii="Arial" w:hAnsi="Arial"/>
                          <w:color w:val="000000"/>
                          <w:spacing w:val="-2"/>
                          <w:w w:val="105"/>
                          <w:sz w:val="18"/>
                        </w:rPr>
                        <w:t>al Government</w:t>
                      </w:r>
                      <w:r>
                        <w:rPr>
                          <w:rFonts w:ascii="Arial" w:hAnsi="Arial"/>
                          <w:color w:val="000000"/>
                          <w:spacing w:val="-2"/>
                          <w:w w:val="105"/>
                          <w:sz w:val="18"/>
                        </w:rPr>
                        <w:t>, j.nr 202413336</w:t>
                      </w:r>
                    </w:p>
                  </w:txbxContent>
                </v:textbox>
                <w10:wrap type="topAndBottom" anchorx="page"/>
              </v:shape>
            </w:pict>
          </mc:Fallback>
        </mc:AlternateContent>
      </w:r>
    </w:p>
    <w:p w14:paraId="48D23C3B" w14:textId="77777777" w:rsidR="00001264" w:rsidRDefault="00001264">
      <w:pPr>
        <w:pStyle w:val="Brdtekst"/>
        <w:jc w:val="left"/>
        <w:rPr>
          <w:b/>
          <w:sz w:val="20"/>
        </w:rPr>
        <w:sectPr w:rsidR="00001264">
          <w:type w:val="continuous"/>
          <w:pgSz w:w="11900" w:h="16840"/>
          <w:pgMar w:top="0" w:right="425" w:bottom="280" w:left="425" w:header="708" w:footer="708" w:gutter="0"/>
          <w:cols w:space="708"/>
        </w:sectPr>
      </w:pPr>
    </w:p>
    <w:p w14:paraId="445D721C" w14:textId="77777777" w:rsidR="00001264" w:rsidRDefault="00167D45">
      <w:pPr>
        <w:spacing w:before="56" w:line="249" w:lineRule="auto"/>
        <w:ind w:left="3193" w:right="1398" w:hanging="1792"/>
        <w:rPr>
          <w:position w:val="12"/>
          <w:sz w:val="16"/>
        </w:rPr>
      </w:pPr>
      <w:r>
        <w:rPr>
          <w:sz w:val="32"/>
        </w:rPr>
        <w:lastRenderedPageBreak/>
        <w:t>Executive Order on Validation, Verification and Disclosure of Domain Name Registration Data1)</w:t>
      </w:r>
    </w:p>
    <w:p w14:paraId="4FEF6B5F" w14:textId="77777777" w:rsidR="00001264" w:rsidRDefault="00001264">
      <w:pPr>
        <w:pStyle w:val="Brdtekst"/>
        <w:spacing w:before="139"/>
        <w:jc w:val="left"/>
        <w:rPr>
          <w:sz w:val="32"/>
        </w:rPr>
      </w:pPr>
    </w:p>
    <w:p w14:paraId="2EF6F521" w14:textId="77777777" w:rsidR="00001264" w:rsidRDefault="00167D45">
      <w:pPr>
        <w:pStyle w:val="Brdtekst"/>
        <w:spacing w:line="249" w:lineRule="auto"/>
        <w:ind w:left="142" w:right="137" w:firstLine="199"/>
      </w:pPr>
      <w:r>
        <w:t>Pursuant to Sections 11(8) and 32(3) of Act No. 434 of 6 May 2025 on measures to ensure a high level of cyber security (NIS 2 Act), the following is stipulated:</w:t>
      </w:r>
    </w:p>
    <w:p w14:paraId="5326AFC1" w14:textId="77777777" w:rsidR="00001264" w:rsidRDefault="00167D45">
      <w:pPr>
        <w:spacing w:before="202"/>
        <w:ind w:left="3545"/>
        <w:jc w:val="both"/>
        <w:rPr>
          <w:i/>
          <w:sz w:val="24"/>
        </w:rPr>
      </w:pPr>
      <w:bookmarkStart w:id="1" w:name="Anvendelsesområde_og_definitioner"/>
      <w:bookmarkEnd w:id="1"/>
      <w:r>
        <w:rPr>
          <w:i/>
          <w:sz w:val="24"/>
        </w:rPr>
        <w:t>Scope and definitions</w:t>
      </w:r>
    </w:p>
    <w:p w14:paraId="0E3164DF" w14:textId="3500D15A" w:rsidR="00001264" w:rsidRDefault="00167D45">
      <w:pPr>
        <w:pStyle w:val="Brdtekst"/>
        <w:spacing w:before="132" w:line="249" w:lineRule="auto"/>
        <w:ind w:left="142" w:right="140" w:firstLine="199"/>
      </w:pPr>
      <w:bookmarkStart w:id="2" w:name="§_1"/>
      <w:bookmarkEnd w:id="2"/>
      <w:r>
        <w:rPr>
          <w:b/>
        </w:rPr>
        <w:t xml:space="preserve">§ 1. </w:t>
      </w:r>
      <w:r>
        <w:t xml:space="preserve">This Order applies to </w:t>
      </w:r>
      <w:r w:rsidR="004C3CEC" w:rsidRPr="004C3CEC">
        <w:t xml:space="preserve">TLD name registries </w:t>
      </w:r>
      <w:r>
        <w:t>and entities providing domain name registration services covered by the NIS 2 Law.</w:t>
      </w:r>
    </w:p>
    <w:p w14:paraId="17F765C1" w14:textId="77777777" w:rsidR="00001264" w:rsidRDefault="00167D45">
      <w:pPr>
        <w:pStyle w:val="Brdtekst"/>
        <w:spacing w:before="122"/>
        <w:ind w:left="342"/>
      </w:pPr>
      <w:bookmarkStart w:id="3" w:name="§_2"/>
      <w:bookmarkEnd w:id="3"/>
      <w:r>
        <w:rPr>
          <w:b/>
        </w:rPr>
        <w:t xml:space="preserve">§ 2. </w:t>
      </w:r>
      <w:r>
        <w:t>For the purposes of this Executive Order:</w:t>
      </w:r>
    </w:p>
    <w:p w14:paraId="09074D12" w14:textId="77777777" w:rsidR="00001264" w:rsidRDefault="00167D45">
      <w:pPr>
        <w:pStyle w:val="Listeafsnit"/>
        <w:numPr>
          <w:ilvl w:val="0"/>
          <w:numId w:val="5"/>
        </w:numPr>
        <w:tabs>
          <w:tab w:val="left" w:pos="540"/>
        </w:tabs>
        <w:ind w:left="540" w:hanging="398"/>
        <w:jc w:val="both"/>
        <w:rPr>
          <w:sz w:val="24"/>
        </w:rPr>
      </w:pPr>
      <w:r>
        <w:rPr>
          <w:sz w:val="24"/>
        </w:rPr>
        <w:t>Syntactic validation: Ensuring that data is properly formatted across input fields.</w:t>
      </w:r>
    </w:p>
    <w:p w14:paraId="7824689A" w14:textId="77777777" w:rsidR="00001264" w:rsidRDefault="00167D45">
      <w:pPr>
        <w:pStyle w:val="Listeafsnit"/>
        <w:numPr>
          <w:ilvl w:val="0"/>
          <w:numId w:val="5"/>
        </w:numPr>
        <w:tabs>
          <w:tab w:val="left" w:pos="539"/>
          <w:tab w:val="left" w:pos="542"/>
        </w:tabs>
        <w:spacing w:line="249" w:lineRule="auto"/>
        <w:ind w:right="138" w:hanging="401"/>
        <w:jc w:val="both"/>
        <w:rPr>
          <w:sz w:val="24"/>
        </w:rPr>
      </w:pPr>
      <w:r>
        <w:rPr>
          <w:sz w:val="24"/>
        </w:rPr>
        <w:t>Operational verification: Ensuring that collected contact information is functional and enables contact.</w:t>
      </w:r>
    </w:p>
    <w:p w14:paraId="27CDDD93" w14:textId="77777777" w:rsidR="00001264" w:rsidRDefault="00167D45">
      <w:pPr>
        <w:pStyle w:val="Listeafsnit"/>
        <w:numPr>
          <w:ilvl w:val="0"/>
          <w:numId w:val="5"/>
        </w:numPr>
        <w:tabs>
          <w:tab w:val="left" w:pos="542"/>
        </w:tabs>
        <w:spacing w:before="2" w:line="249" w:lineRule="auto"/>
        <w:ind w:right="139"/>
        <w:jc w:val="both"/>
        <w:rPr>
          <w:sz w:val="24"/>
        </w:rPr>
      </w:pPr>
      <w:r>
        <w:rPr>
          <w:sz w:val="24"/>
        </w:rPr>
        <w:t>Identity verification: The collection and validation of information about a registrant to ensure that the registrant is who the registrant claims to be.</w:t>
      </w:r>
    </w:p>
    <w:p w14:paraId="1FBA0D2C" w14:textId="77777777" w:rsidR="00001264" w:rsidRDefault="00167D45">
      <w:pPr>
        <w:pStyle w:val="Listeafsnit"/>
        <w:numPr>
          <w:ilvl w:val="0"/>
          <w:numId w:val="5"/>
        </w:numPr>
        <w:tabs>
          <w:tab w:val="left" w:pos="540"/>
          <w:tab w:val="left" w:pos="542"/>
        </w:tabs>
        <w:spacing w:before="2" w:line="249" w:lineRule="auto"/>
        <w:ind w:right="138"/>
        <w:jc w:val="both"/>
        <w:rPr>
          <w:sz w:val="24"/>
        </w:rPr>
      </w:pPr>
      <w:r>
        <w:rPr>
          <w:sz w:val="24"/>
        </w:rPr>
        <w:t>Electronic identification: Personal identification data in electronic form that uniquely represents either a natural or legal person or a natural person representing a legal person.</w:t>
      </w:r>
    </w:p>
    <w:p w14:paraId="3F981060" w14:textId="77777777" w:rsidR="00001264" w:rsidRDefault="00167D45">
      <w:pPr>
        <w:pStyle w:val="Listeafsnit"/>
        <w:numPr>
          <w:ilvl w:val="0"/>
          <w:numId w:val="5"/>
        </w:numPr>
        <w:tabs>
          <w:tab w:val="left" w:pos="542"/>
        </w:tabs>
        <w:spacing w:before="2" w:line="249" w:lineRule="auto"/>
        <w:ind w:right="137"/>
        <w:jc w:val="both"/>
        <w:rPr>
          <w:sz w:val="24"/>
        </w:rPr>
      </w:pPr>
      <w:r>
        <w:rPr>
          <w:sz w:val="24"/>
        </w:rPr>
        <w:t>Point of contact: A natural or legal person who has been entrusted by a registrant with the responsibility of managing a domain name on the registrant's behalf and who can perform all actions relating to a domain name, including changing domain name registration data, renewing the domain name, or transferring the domain name to another party.</w:t>
      </w:r>
    </w:p>
    <w:p w14:paraId="47B8FFFA" w14:textId="77777777" w:rsidR="00001264" w:rsidRDefault="00167D45">
      <w:pPr>
        <w:pStyle w:val="Listeafsnit"/>
        <w:numPr>
          <w:ilvl w:val="0"/>
          <w:numId w:val="5"/>
        </w:numPr>
        <w:tabs>
          <w:tab w:val="left" w:pos="540"/>
          <w:tab w:val="left" w:pos="542"/>
        </w:tabs>
        <w:spacing w:before="4" w:line="249" w:lineRule="auto"/>
        <w:ind w:right="140"/>
        <w:jc w:val="both"/>
        <w:rPr>
          <w:sz w:val="24"/>
        </w:rPr>
      </w:pPr>
      <w:r>
        <w:rPr>
          <w:sz w:val="24"/>
        </w:rPr>
        <w:t>DNS abuse: The use of a domain name as part of a botnet, used for phishing or pharming, or used to spread malware or spam when spam acts as a delivery mechanism for botnets, phishing, or pharming.</w:t>
      </w:r>
    </w:p>
    <w:p w14:paraId="1F40F024" w14:textId="77777777" w:rsidR="00001264" w:rsidRDefault="00167D45">
      <w:pPr>
        <w:pStyle w:val="Listeafsnit"/>
        <w:numPr>
          <w:ilvl w:val="0"/>
          <w:numId w:val="5"/>
        </w:numPr>
        <w:tabs>
          <w:tab w:val="left" w:pos="542"/>
        </w:tabs>
        <w:spacing w:before="3" w:line="249" w:lineRule="auto"/>
        <w:ind w:right="139"/>
        <w:jc w:val="both"/>
        <w:rPr>
          <w:sz w:val="24"/>
        </w:rPr>
      </w:pPr>
      <w:r>
        <w:rPr>
          <w:sz w:val="24"/>
        </w:rPr>
        <w:t>Legitimate access seekers: A natural or legal person who makes a request under Union or national law to access non-publicly available domain name registration data, including personal data.</w:t>
      </w:r>
    </w:p>
    <w:p w14:paraId="19495226" w14:textId="77777777" w:rsidR="00001264" w:rsidRDefault="00167D45">
      <w:pPr>
        <w:spacing w:before="163"/>
        <w:ind w:left="1478"/>
        <w:jc w:val="both"/>
        <w:rPr>
          <w:i/>
          <w:sz w:val="24"/>
        </w:rPr>
      </w:pPr>
      <w:bookmarkStart w:id="4" w:name="Validerings-_og_verifikationsprocedurer_"/>
      <w:bookmarkEnd w:id="4"/>
      <w:r>
        <w:rPr>
          <w:i/>
          <w:spacing w:val="-2"/>
          <w:sz w:val="24"/>
        </w:rPr>
        <w:t>Email address or phone number validation and verification procedures</w:t>
      </w:r>
    </w:p>
    <w:p w14:paraId="2CE130B5" w14:textId="3B7A0DEE" w:rsidR="00001264" w:rsidRDefault="00167D45">
      <w:pPr>
        <w:pStyle w:val="Brdtekst"/>
        <w:spacing w:before="132" w:line="249" w:lineRule="auto"/>
        <w:ind w:left="142" w:right="139" w:firstLine="200"/>
      </w:pPr>
      <w:bookmarkStart w:id="5" w:name="§_3"/>
      <w:bookmarkEnd w:id="5"/>
      <w:r>
        <w:rPr>
          <w:b/>
        </w:rPr>
        <w:t xml:space="preserve">§ 3. </w:t>
      </w:r>
      <w:r>
        <w:t xml:space="preserve">Without prejudice to paragraph 5, when registering a domain name, </w:t>
      </w:r>
      <w:r w:rsidR="00383A3A" w:rsidRPr="004C3CEC">
        <w:t>TLD name registries</w:t>
      </w:r>
      <w:r>
        <w:t xml:space="preserve"> and entities providing domain name registration services shall ensure that the registrant's contact email address or phone number is syntactically validated and operationally verified in accordance with paragraph 4.</w:t>
      </w:r>
    </w:p>
    <w:p w14:paraId="56164C5F" w14:textId="15A34F2C" w:rsidR="00001264" w:rsidRDefault="00167D45">
      <w:pPr>
        <w:pStyle w:val="Brdtekst"/>
        <w:spacing w:before="3" w:line="249" w:lineRule="auto"/>
        <w:ind w:left="142" w:right="138" w:firstLine="200"/>
      </w:pPr>
      <w:r>
        <w:rPr>
          <w:i/>
        </w:rPr>
        <w:t xml:space="preserve">(2) </w:t>
      </w:r>
      <w:r>
        <w:t>If, at the time of registration, the registrant has a point of contact, or at a later stage establishes a point of contact to manage the domain name, the registration of a domain name, the registration of a point of contact or the change of the contact details of an existing point of contact, a syntactic validation and operational verification in accordance with paragraph 4 shall be carried out for the contact email address or the telephone number of the point of contact in the event  that they are different from the registrant's contact email address or phone number.</w:t>
      </w:r>
    </w:p>
    <w:p w14:paraId="307CB054" w14:textId="77777777" w:rsidR="00001264" w:rsidRDefault="00167D45">
      <w:pPr>
        <w:pStyle w:val="Brdtekst"/>
        <w:spacing w:before="6"/>
        <w:ind w:left="342"/>
      </w:pPr>
      <w:r>
        <w:rPr>
          <w:i/>
        </w:rPr>
        <w:t xml:space="preserve">(3) </w:t>
      </w:r>
      <w:r>
        <w:t>The syntactic validation and operational verification pursuant to paragraph 1 shall also be carried out if:</w:t>
      </w:r>
    </w:p>
    <w:p w14:paraId="3A855BDC" w14:textId="77777777" w:rsidR="00001264" w:rsidRDefault="00167D45">
      <w:pPr>
        <w:pStyle w:val="Listeafsnit"/>
        <w:numPr>
          <w:ilvl w:val="0"/>
          <w:numId w:val="4"/>
        </w:numPr>
        <w:tabs>
          <w:tab w:val="left" w:pos="541"/>
        </w:tabs>
        <w:ind w:left="541" w:hanging="399"/>
        <w:jc w:val="both"/>
        <w:rPr>
          <w:sz w:val="24"/>
        </w:rPr>
      </w:pPr>
      <w:r>
        <w:rPr>
          <w:sz w:val="24"/>
        </w:rPr>
        <w:t xml:space="preserve">a domain name is transferred to another </w:t>
      </w:r>
      <w:proofErr w:type="gramStart"/>
      <w:r>
        <w:rPr>
          <w:sz w:val="24"/>
        </w:rPr>
        <w:t>registrant;</w:t>
      </w:r>
      <w:proofErr w:type="gramEnd"/>
    </w:p>
    <w:p w14:paraId="2921DC7E" w14:textId="2F30D67E" w:rsidR="00001264" w:rsidRDefault="00167D45">
      <w:pPr>
        <w:pStyle w:val="Listeafsnit"/>
        <w:numPr>
          <w:ilvl w:val="0"/>
          <w:numId w:val="4"/>
        </w:numPr>
        <w:tabs>
          <w:tab w:val="left" w:pos="542"/>
        </w:tabs>
        <w:spacing w:line="249" w:lineRule="auto"/>
        <w:ind w:right="140" w:hanging="400"/>
        <w:jc w:val="both"/>
        <w:rPr>
          <w:sz w:val="24"/>
        </w:rPr>
      </w:pPr>
      <w:r>
        <w:rPr>
          <w:sz w:val="24"/>
        </w:rPr>
        <w:t xml:space="preserve">the </w:t>
      </w:r>
      <w:r w:rsidR="00383A3A" w:rsidRPr="004C3CEC">
        <w:t>TLD name registries</w:t>
      </w:r>
      <w:r>
        <w:rPr>
          <w:sz w:val="24"/>
        </w:rPr>
        <w:t xml:space="preserve"> or the entity providing domain name registration services receives a written reasonable suspicion that a domain name is being used for DNS misuse, or</w:t>
      </w:r>
    </w:p>
    <w:p w14:paraId="131491E3" w14:textId="6FAF5A1F" w:rsidR="00001264" w:rsidRDefault="00167D45">
      <w:pPr>
        <w:pStyle w:val="Listeafsnit"/>
        <w:numPr>
          <w:ilvl w:val="0"/>
          <w:numId w:val="4"/>
        </w:numPr>
        <w:tabs>
          <w:tab w:val="left" w:pos="542"/>
        </w:tabs>
        <w:spacing w:before="3" w:line="249" w:lineRule="auto"/>
        <w:ind w:right="140" w:hanging="400"/>
        <w:jc w:val="both"/>
        <w:rPr>
          <w:sz w:val="24"/>
        </w:rPr>
      </w:pPr>
      <w:r>
        <w:rPr>
          <w:sz w:val="24"/>
        </w:rPr>
        <w:t xml:space="preserve">The </w:t>
      </w:r>
      <w:r w:rsidR="00383A3A" w:rsidRPr="004C3CEC">
        <w:t>TLD name registries</w:t>
      </w:r>
      <w:r>
        <w:rPr>
          <w:sz w:val="24"/>
        </w:rPr>
        <w:t xml:space="preserve"> or the entity providing domain name registration services receives a written reasonable suspicion that contact information for a domain name is incorrect.</w:t>
      </w:r>
    </w:p>
    <w:p w14:paraId="172D6937" w14:textId="77777777" w:rsidR="00001264" w:rsidRDefault="00167D45">
      <w:pPr>
        <w:pStyle w:val="Brdtekst"/>
        <w:spacing w:before="2"/>
        <w:ind w:left="342"/>
      </w:pPr>
      <w:r>
        <w:rPr>
          <w:i/>
        </w:rPr>
        <w:t xml:space="preserve">(4) </w:t>
      </w:r>
      <w:r>
        <w:t>The syntactic validation and operational verification shall include at least one of the following</w:t>
      </w:r>
    </w:p>
    <w:p w14:paraId="442A1BDA" w14:textId="77777777" w:rsidR="00001264" w:rsidRDefault="00001264">
      <w:pPr>
        <w:pStyle w:val="Brdtekst"/>
        <w:sectPr w:rsidR="00001264">
          <w:footerReference w:type="default" r:id="rId8"/>
          <w:pgSz w:w="11910" w:h="16840"/>
          <w:pgMar w:top="1160" w:right="708" w:bottom="840" w:left="708" w:header="0" w:footer="652" w:gutter="0"/>
          <w:pgNumType w:start="1"/>
          <w:cols w:space="708"/>
        </w:sectPr>
      </w:pPr>
    </w:p>
    <w:p w14:paraId="1E7B4EDE" w14:textId="77777777" w:rsidR="00001264" w:rsidRDefault="00167D45">
      <w:pPr>
        <w:pStyle w:val="Listeafsnit"/>
        <w:numPr>
          <w:ilvl w:val="0"/>
          <w:numId w:val="3"/>
        </w:numPr>
        <w:tabs>
          <w:tab w:val="left" w:pos="540"/>
          <w:tab w:val="left" w:pos="542"/>
        </w:tabs>
        <w:spacing w:before="67" w:line="249" w:lineRule="auto"/>
        <w:ind w:right="138"/>
        <w:jc w:val="both"/>
        <w:rPr>
          <w:sz w:val="24"/>
        </w:rPr>
      </w:pPr>
      <w:r>
        <w:rPr>
          <w:sz w:val="24"/>
        </w:rPr>
        <w:lastRenderedPageBreak/>
        <w:t>that the email address is formatted in accordance with RFC5322 (or later standards, which replaces it) and is operationally verified, or</w:t>
      </w:r>
    </w:p>
    <w:p w14:paraId="7B8D57DD" w14:textId="77777777" w:rsidR="00001264" w:rsidRDefault="00167D45">
      <w:pPr>
        <w:pStyle w:val="Listeafsnit"/>
        <w:numPr>
          <w:ilvl w:val="0"/>
          <w:numId w:val="3"/>
        </w:numPr>
        <w:tabs>
          <w:tab w:val="left" w:pos="542"/>
        </w:tabs>
        <w:spacing w:before="2" w:line="249" w:lineRule="auto"/>
        <w:ind w:right="138" w:hanging="400"/>
        <w:jc w:val="both"/>
        <w:rPr>
          <w:sz w:val="24"/>
        </w:rPr>
      </w:pPr>
      <w:r>
        <w:rPr>
          <w:sz w:val="24"/>
        </w:rPr>
        <w:t xml:space="preserve">that the telephone number is formatted in accordance with ITU-T E 164's recommendations for international telephone </w:t>
      </w:r>
      <w:proofErr w:type="gramStart"/>
      <w:r>
        <w:rPr>
          <w:sz w:val="24"/>
        </w:rPr>
        <w:t>numbers, and</w:t>
      </w:r>
      <w:proofErr w:type="gramEnd"/>
      <w:r>
        <w:rPr>
          <w:sz w:val="24"/>
        </w:rPr>
        <w:t xml:space="preserve"> has been operationally verified.</w:t>
      </w:r>
    </w:p>
    <w:p w14:paraId="7870A27B" w14:textId="77777777" w:rsidR="00001264" w:rsidRDefault="00167D45">
      <w:pPr>
        <w:pStyle w:val="Brdtekst"/>
        <w:spacing w:before="2" w:line="249" w:lineRule="auto"/>
        <w:ind w:left="142" w:right="138" w:firstLine="200"/>
      </w:pPr>
      <w:r>
        <w:rPr>
          <w:i/>
        </w:rPr>
        <w:t xml:space="preserve">(5) </w:t>
      </w:r>
      <w:r>
        <w:t>Where a registrant registers or has registered multiple domain names with the same entity, it shall be sufficient to perform the syntactic validation and operational verification of the registrant's contact email address or telephone number in accordance with paragraph 1 for one of the registrant's domain names.</w:t>
      </w:r>
    </w:p>
    <w:p w14:paraId="141649CA" w14:textId="77777777" w:rsidR="00001264" w:rsidRDefault="00167D45">
      <w:pPr>
        <w:spacing w:before="163"/>
        <w:ind w:left="3061"/>
        <w:jc w:val="both"/>
        <w:rPr>
          <w:i/>
          <w:sz w:val="24"/>
        </w:rPr>
      </w:pPr>
      <w:bookmarkStart w:id="6" w:name="Verifikationsprocedurer_af_registrantens"/>
      <w:bookmarkEnd w:id="6"/>
      <w:r>
        <w:rPr>
          <w:i/>
          <w:spacing w:val="-2"/>
          <w:sz w:val="24"/>
        </w:rPr>
        <w:t>Verification procedures of the registrant's name</w:t>
      </w:r>
    </w:p>
    <w:p w14:paraId="36197CA9" w14:textId="6C0CE8EF" w:rsidR="00001264" w:rsidRDefault="00167D45">
      <w:pPr>
        <w:pStyle w:val="Brdtekst"/>
        <w:spacing w:before="132" w:line="249" w:lineRule="auto"/>
        <w:ind w:left="142" w:right="141" w:firstLine="200"/>
      </w:pPr>
      <w:bookmarkStart w:id="7" w:name="§_4"/>
      <w:bookmarkEnd w:id="7"/>
      <w:r>
        <w:rPr>
          <w:b/>
        </w:rPr>
        <w:t xml:space="preserve">§ 4. </w:t>
      </w:r>
      <w:r>
        <w:t xml:space="preserve">Without prejudice to paragraphs 2 and 6, when registering a domain name, when registering a domain name, the </w:t>
      </w:r>
      <w:r w:rsidR="00146F30" w:rsidRPr="004C3CEC">
        <w:t>TLD name registries</w:t>
      </w:r>
      <w:r>
        <w:t xml:space="preserve"> and entities providing domain name registration services shall, to the extent possible, use electronic identification to verify a registrant's name.</w:t>
      </w:r>
    </w:p>
    <w:p w14:paraId="0AD034AB" w14:textId="532D2147" w:rsidR="00001264" w:rsidRDefault="00167D45">
      <w:pPr>
        <w:pStyle w:val="Brdtekst"/>
        <w:spacing w:before="3" w:line="249" w:lineRule="auto"/>
        <w:ind w:left="142" w:right="137" w:firstLine="200"/>
      </w:pPr>
      <w:r>
        <w:rPr>
          <w:i/>
        </w:rPr>
        <w:t xml:space="preserve">(2) </w:t>
      </w:r>
      <w:r>
        <w:t xml:space="preserve">Where a </w:t>
      </w:r>
      <w:r w:rsidR="00146F30" w:rsidRPr="004C3CEC">
        <w:t>TLD name registries</w:t>
      </w:r>
      <w:r>
        <w:t xml:space="preserve"> and an entity providing domain name registration services do not have the ability to use electronic identification to verify a registrant's name, a risk-based approach is used instead. The risk-based approach must </w:t>
      </w:r>
      <w:proofErr w:type="gramStart"/>
      <w:r>
        <w:t>take into account</w:t>
      </w:r>
      <w:proofErr w:type="gramEnd"/>
      <w:r>
        <w:t xml:space="preserve"> </w:t>
      </w:r>
      <w:proofErr w:type="gramStart"/>
      <w:r>
        <w:t>best</w:t>
      </w:r>
      <w:proofErr w:type="gramEnd"/>
      <w:r>
        <w:t xml:space="preserve"> practices in this area.</w:t>
      </w:r>
    </w:p>
    <w:p w14:paraId="70812C5B" w14:textId="77777777" w:rsidR="00001264" w:rsidRDefault="00167D45">
      <w:pPr>
        <w:pStyle w:val="Brdtekst"/>
        <w:spacing w:before="4" w:line="249" w:lineRule="auto"/>
        <w:ind w:left="142" w:right="138" w:firstLine="200"/>
      </w:pPr>
      <w:r>
        <w:rPr>
          <w:i/>
        </w:rPr>
        <w:t xml:space="preserve">(3) </w:t>
      </w:r>
      <w:r>
        <w:t>The risk-based approach is applied to the registration of a domain name and to each renewal of an existing domain name.</w:t>
      </w:r>
    </w:p>
    <w:p w14:paraId="268F8DA8" w14:textId="53FB0F7D" w:rsidR="00001264" w:rsidRDefault="00167D45">
      <w:pPr>
        <w:pStyle w:val="Brdtekst"/>
        <w:spacing w:before="2" w:line="249" w:lineRule="auto"/>
        <w:ind w:left="142" w:right="138" w:firstLine="199"/>
      </w:pPr>
      <w:r>
        <w:rPr>
          <w:i/>
        </w:rPr>
        <w:t xml:space="preserve">(4) </w:t>
      </w:r>
      <w:r>
        <w:t xml:space="preserve">Where the risk-based approach shows that a registration poses a medium or high risk of being used for malicious purposes, the </w:t>
      </w:r>
      <w:r w:rsidR="00146F30" w:rsidRPr="004C3CEC">
        <w:t>TLD name registries</w:t>
      </w:r>
      <w:r>
        <w:t xml:space="preserve"> and the entity providing domain name registration services shall carry out an identity verification of the registrant.</w:t>
      </w:r>
    </w:p>
    <w:p w14:paraId="6C3A1D67" w14:textId="77777777" w:rsidR="00001264" w:rsidRDefault="00167D45">
      <w:pPr>
        <w:pStyle w:val="Brdtekst"/>
        <w:spacing w:before="3"/>
        <w:ind w:left="342"/>
      </w:pPr>
      <w:r>
        <w:rPr>
          <w:i/>
        </w:rPr>
        <w:t xml:space="preserve">(5) </w:t>
      </w:r>
      <w:r>
        <w:t>Verification of a registrant's name pursuant to paragraphs 1 or 2 shall also be carried out if:</w:t>
      </w:r>
    </w:p>
    <w:p w14:paraId="0C86DB2D" w14:textId="77777777" w:rsidR="00001264" w:rsidRDefault="00167D45">
      <w:pPr>
        <w:pStyle w:val="Listeafsnit"/>
        <w:numPr>
          <w:ilvl w:val="0"/>
          <w:numId w:val="2"/>
        </w:numPr>
        <w:tabs>
          <w:tab w:val="left" w:pos="540"/>
        </w:tabs>
        <w:ind w:left="540" w:hanging="398"/>
        <w:jc w:val="both"/>
        <w:rPr>
          <w:sz w:val="24"/>
        </w:rPr>
      </w:pPr>
      <w:r>
        <w:rPr>
          <w:sz w:val="24"/>
        </w:rPr>
        <w:t xml:space="preserve">a domain name is transferred to another </w:t>
      </w:r>
      <w:proofErr w:type="gramStart"/>
      <w:r>
        <w:rPr>
          <w:sz w:val="24"/>
        </w:rPr>
        <w:t>registrant;</w:t>
      </w:r>
      <w:proofErr w:type="gramEnd"/>
    </w:p>
    <w:p w14:paraId="2C931069" w14:textId="2426AB29" w:rsidR="00001264" w:rsidRDefault="00167D45">
      <w:pPr>
        <w:pStyle w:val="Listeafsnit"/>
        <w:numPr>
          <w:ilvl w:val="0"/>
          <w:numId w:val="2"/>
        </w:numPr>
        <w:tabs>
          <w:tab w:val="left" w:pos="540"/>
          <w:tab w:val="left" w:pos="542"/>
        </w:tabs>
        <w:spacing w:line="249" w:lineRule="auto"/>
        <w:ind w:right="140"/>
        <w:jc w:val="both"/>
        <w:rPr>
          <w:sz w:val="24"/>
        </w:rPr>
      </w:pPr>
      <w:r>
        <w:rPr>
          <w:sz w:val="24"/>
        </w:rPr>
        <w:t xml:space="preserve">the </w:t>
      </w:r>
      <w:r w:rsidR="00146F30" w:rsidRPr="004C3CEC">
        <w:t>TLD name registries</w:t>
      </w:r>
      <w:r>
        <w:rPr>
          <w:sz w:val="24"/>
        </w:rPr>
        <w:t xml:space="preserve"> or the entity providing domain name registration services receives a written reasonable suspicion that a domain name is being used for DNS misuse, or</w:t>
      </w:r>
    </w:p>
    <w:p w14:paraId="20E9556D" w14:textId="4430E00F" w:rsidR="00001264" w:rsidRDefault="00167D45">
      <w:pPr>
        <w:pStyle w:val="Listeafsnit"/>
        <w:numPr>
          <w:ilvl w:val="0"/>
          <w:numId w:val="2"/>
        </w:numPr>
        <w:tabs>
          <w:tab w:val="left" w:pos="540"/>
          <w:tab w:val="left" w:pos="542"/>
        </w:tabs>
        <w:spacing w:before="3" w:line="249" w:lineRule="auto"/>
        <w:ind w:right="140"/>
        <w:jc w:val="both"/>
        <w:rPr>
          <w:sz w:val="24"/>
        </w:rPr>
      </w:pPr>
      <w:r>
        <w:rPr>
          <w:sz w:val="24"/>
        </w:rPr>
        <w:t xml:space="preserve">The </w:t>
      </w:r>
      <w:r w:rsidR="00146F30" w:rsidRPr="004C3CEC">
        <w:t>TLD name registries</w:t>
      </w:r>
      <w:r>
        <w:rPr>
          <w:sz w:val="24"/>
        </w:rPr>
        <w:t xml:space="preserve"> or the entity providing domain name registration services receives a written reasonable suspicion that contact information for a domain name is incorrect.</w:t>
      </w:r>
    </w:p>
    <w:p w14:paraId="327F02CD" w14:textId="77777777" w:rsidR="00001264" w:rsidRDefault="00167D45">
      <w:pPr>
        <w:pStyle w:val="Brdtekst"/>
        <w:spacing w:before="2" w:line="249" w:lineRule="auto"/>
        <w:ind w:left="142" w:right="138" w:firstLine="200"/>
      </w:pPr>
      <w:r>
        <w:rPr>
          <w:i/>
        </w:rPr>
        <w:t xml:space="preserve">(6). </w:t>
      </w:r>
      <w:r>
        <w:t>Where a registrant registers or has registered multiple domain names with the same entity, it shall be sufficient to use electronic identification to verify the registrant's name in accordance with paragraph 1 for one of the registrant's domain names or to use the risk-based approach to verify the registrant's name in accordance with paragraph 2 for one of the registrant's domain names.</w:t>
      </w:r>
    </w:p>
    <w:p w14:paraId="4D9B41E5" w14:textId="77777777" w:rsidR="00001264" w:rsidRDefault="00167D45">
      <w:pPr>
        <w:spacing w:before="164"/>
        <w:ind w:left="1690"/>
        <w:jc w:val="both"/>
        <w:rPr>
          <w:i/>
          <w:sz w:val="24"/>
        </w:rPr>
      </w:pPr>
      <w:bookmarkStart w:id="8" w:name="Manglende_validering_eller_verifikation_"/>
      <w:bookmarkEnd w:id="8"/>
      <w:r>
        <w:rPr>
          <w:i/>
          <w:sz w:val="24"/>
        </w:rPr>
        <w:t>Failure to validate or verify domain name registration data</w:t>
      </w:r>
    </w:p>
    <w:p w14:paraId="583BDCB6" w14:textId="77777777" w:rsidR="00001264" w:rsidRDefault="00167D45">
      <w:pPr>
        <w:pStyle w:val="Brdtekst"/>
        <w:spacing w:before="132" w:line="249" w:lineRule="auto"/>
        <w:ind w:left="142" w:right="137" w:firstLine="200"/>
      </w:pPr>
      <w:bookmarkStart w:id="9" w:name="§_5"/>
      <w:bookmarkEnd w:id="9"/>
      <w:r>
        <w:rPr>
          <w:b/>
        </w:rPr>
        <w:t xml:space="preserve">§ 5. </w:t>
      </w:r>
      <w:r>
        <w:t>If the contact email address or telephone number of the registrant of a domain name or any contact point cannot be validated syntactically and verified operationally in accordance with Section 3(1) and (2), or if the name of the registrant cannot be verified, in accordance with Section 4(1) and (2), the domain name may only be made active when the validation and verification of the contact email address or telephone number and the verification of the name of the registrant have been satisfactorily completed.  However, see subsection (2).</w:t>
      </w:r>
    </w:p>
    <w:p w14:paraId="0B8F08E3" w14:textId="77777777" w:rsidR="00001264" w:rsidRDefault="00167D45">
      <w:pPr>
        <w:pStyle w:val="Brdtekst"/>
        <w:spacing w:before="5" w:line="249" w:lineRule="auto"/>
        <w:ind w:left="142" w:right="137" w:firstLine="200"/>
      </w:pPr>
      <w:r>
        <w:rPr>
          <w:i/>
        </w:rPr>
        <w:t xml:space="preserve">(2) </w:t>
      </w:r>
      <w:r>
        <w:t>In cases where it is not technically possible to carry out validation and verification in accordance with the provisions of sections 3 and 4 before the domain name is made active, satisfactory validation and verification of the contact email address or telephone number as well as verification of the name of the registrant must take place no later than 72 hours after the domain name has been made active. If satisfactory validation and verification do not take place within 72 hours, the domain name must be suspended or deleted without undue delay.</w:t>
      </w:r>
    </w:p>
    <w:p w14:paraId="0954ACFB" w14:textId="77777777" w:rsidR="00001264" w:rsidRDefault="00167D45">
      <w:pPr>
        <w:pStyle w:val="Brdtekst"/>
        <w:spacing w:before="5" w:line="249" w:lineRule="auto"/>
        <w:ind w:left="142" w:right="139" w:firstLine="199"/>
      </w:pPr>
      <w:r>
        <w:rPr>
          <w:i/>
        </w:rPr>
        <w:t xml:space="preserve">(3) </w:t>
      </w:r>
      <w:r>
        <w:t xml:space="preserve">In situations covered by section 3(3), section 4(5) or renewals pursuant to section 4(3), the domain name must be suspended or deleted within 30 days if validation and verification cannot take place beforehand </w:t>
      </w:r>
      <w:proofErr w:type="gramStart"/>
      <w:r>
        <w:t>on the basis of</w:t>
      </w:r>
      <w:proofErr w:type="gramEnd"/>
      <w:r>
        <w:t xml:space="preserve"> updated information from the registrant.</w:t>
      </w:r>
    </w:p>
    <w:p w14:paraId="107CDBB9" w14:textId="77777777" w:rsidR="00001264" w:rsidRDefault="00001264">
      <w:pPr>
        <w:pStyle w:val="Brdtekst"/>
        <w:spacing w:line="249" w:lineRule="auto"/>
        <w:sectPr w:rsidR="00001264">
          <w:pgSz w:w="11910" w:h="16840"/>
          <w:pgMar w:top="1320" w:right="708" w:bottom="840" w:left="708" w:header="0" w:footer="652" w:gutter="0"/>
          <w:cols w:space="708"/>
        </w:sectPr>
      </w:pPr>
    </w:p>
    <w:p w14:paraId="21060713" w14:textId="77777777" w:rsidR="00001264" w:rsidRDefault="00167D45">
      <w:pPr>
        <w:spacing w:before="67"/>
        <w:ind w:left="2360"/>
        <w:jc w:val="both"/>
        <w:rPr>
          <w:i/>
          <w:sz w:val="24"/>
        </w:rPr>
      </w:pPr>
      <w:bookmarkStart w:id="10" w:name="Anmodninger_om_adgang_til_domænenavnsreg"/>
      <w:bookmarkEnd w:id="10"/>
      <w:r>
        <w:rPr>
          <w:i/>
          <w:sz w:val="24"/>
        </w:rPr>
        <w:lastRenderedPageBreak/>
        <w:t>Requests for access to domain name registration data</w:t>
      </w:r>
    </w:p>
    <w:p w14:paraId="7F4A2696" w14:textId="48D00148" w:rsidR="00001264" w:rsidRDefault="00167D45">
      <w:pPr>
        <w:pStyle w:val="Brdtekst"/>
        <w:spacing w:before="132" w:line="249" w:lineRule="auto"/>
        <w:ind w:left="142" w:right="138" w:firstLine="200"/>
      </w:pPr>
      <w:bookmarkStart w:id="11" w:name="§_6"/>
      <w:bookmarkEnd w:id="11"/>
      <w:r>
        <w:rPr>
          <w:b/>
        </w:rPr>
        <w:t xml:space="preserve">§ 6. </w:t>
      </w:r>
      <w:r w:rsidR="002B6BF1" w:rsidRPr="004C3CEC">
        <w:t xml:space="preserve">TLD name registries </w:t>
      </w:r>
      <w:r>
        <w:t xml:space="preserve">and entities providing domain name registration services shall, </w:t>
      </w:r>
      <w:proofErr w:type="gramStart"/>
      <w:r>
        <w:t>on the basis of</w:t>
      </w:r>
      <w:proofErr w:type="gramEnd"/>
      <w:r>
        <w:t xml:space="preserve"> a lawful and duly justified request by a legitimate access seeker, provide access to the requested specific domain name registration data without undue delay and in any event within 72 hours.</w:t>
      </w:r>
    </w:p>
    <w:p w14:paraId="5AB73BA8" w14:textId="71C7F24E" w:rsidR="00001264" w:rsidRDefault="00167D45">
      <w:pPr>
        <w:pStyle w:val="Brdtekst"/>
        <w:spacing w:before="4" w:line="249" w:lineRule="auto"/>
        <w:ind w:left="142" w:right="138" w:firstLine="200"/>
      </w:pPr>
      <w:r>
        <w:rPr>
          <w:i/>
        </w:rPr>
        <w:t xml:space="preserve">(2) </w:t>
      </w:r>
      <w:r>
        <w:t xml:space="preserve">For other access seekers, the </w:t>
      </w:r>
      <w:r w:rsidR="00C950FD" w:rsidRPr="004C3CEC">
        <w:t>TLD name registries</w:t>
      </w:r>
      <w:r>
        <w:t xml:space="preserve"> and entities providing domain name registration services shall, </w:t>
      </w:r>
      <w:proofErr w:type="gramStart"/>
      <w:r>
        <w:t>on the basis of</w:t>
      </w:r>
      <w:proofErr w:type="gramEnd"/>
      <w:r>
        <w:t xml:space="preserve"> a duly reasoned request for access to specific unpublished domain name registration data, within 72 hours of receipt of the request, disclose whether access is granted to the domain name registration data to which the request relates.</w:t>
      </w:r>
    </w:p>
    <w:p w14:paraId="42787CEA" w14:textId="1B261CD1" w:rsidR="00001264" w:rsidRDefault="00167D45">
      <w:pPr>
        <w:pStyle w:val="Brdtekst"/>
        <w:spacing w:before="4" w:line="249" w:lineRule="auto"/>
        <w:ind w:left="142" w:right="139" w:firstLine="199"/>
      </w:pPr>
      <w:r>
        <w:rPr>
          <w:i/>
        </w:rPr>
        <w:t xml:space="preserve">(3) </w:t>
      </w:r>
      <w:r>
        <w:t xml:space="preserve">If a request pursuant to paragraph 2 is not granted, in whole or in part, the </w:t>
      </w:r>
      <w:r w:rsidR="00C950FD" w:rsidRPr="004C3CEC">
        <w:t xml:space="preserve">TLD name registries </w:t>
      </w:r>
      <w:r>
        <w:t>or entities providing domain name registration services shall provide a reason for this.</w:t>
      </w:r>
    </w:p>
    <w:p w14:paraId="235CF187" w14:textId="77777777" w:rsidR="00001264" w:rsidRDefault="00167D45">
      <w:pPr>
        <w:spacing w:before="162"/>
        <w:ind w:left="4931"/>
        <w:rPr>
          <w:i/>
          <w:sz w:val="24"/>
        </w:rPr>
      </w:pPr>
      <w:bookmarkStart w:id="12" w:name="Påbud"/>
      <w:bookmarkEnd w:id="12"/>
      <w:r>
        <w:rPr>
          <w:i/>
          <w:spacing w:val="-2"/>
          <w:sz w:val="24"/>
        </w:rPr>
        <w:t>Injunction</w:t>
      </w:r>
    </w:p>
    <w:p w14:paraId="3FAA9DB0" w14:textId="5F3B76DE" w:rsidR="00001264" w:rsidRDefault="00167D45">
      <w:pPr>
        <w:pStyle w:val="Brdtekst"/>
        <w:spacing w:before="132" w:line="249" w:lineRule="auto"/>
        <w:ind w:left="142" w:firstLine="200"/>
        <w:jc w:val="left"/>
      </w:pPr>
      <w:bookmarkStart w:id="13" w:name="§_7"/>
      <w:bookmarkEnd w:id="13"/>
      <w:r>
        <w:rPr>
          <w:b/>
        </w:rPr>
        <w:t xml:space="preserve">§ 7. </w:t>
      </w:r>
      <w:r>
        <w:t xml:space="preserve">Injunctions may be issued to </w:t>
      </w:r>
      <w:r w:rsidR="00C950FD" w:rsidRPr="004C3CEC">
        <w:t>TLD name registries</w:t>
      </w:r>
      <w:r>
        <w:t xml:space="preserve"> and entities providing domain name registration services </w:t>
      </w:r>
      <w:proofErr w:type="gramStart"/>
      <w:r>
        <w:t>in order to</w:t>
      </w:r>
      <w:proofErr w:type="gramEnd"/>
      <w:r>
        <w:t xml:space="preserve"> ensure compliance with sections 3-6.</w:t>
      </w:r>
    </w:p>
    <w:p w14:paraId="0F703405" w14:textId="77777777" w:rsidR="00001264" w:rsidRDefault="00167D45">
      <w:pPr>
        <w:spacing w:before="162"/>
        <w:jc w:val="center"/>
        <w:rPr>
          <w:i/>
          <w:sz w:val="24"/>
        </w:rPr>
      </w:pPr>
      <w:bookmarkStart w:id="14" w:name="Straffebestemmelser"/>
      <w:bookmarkEnd w:id="14"/>
      <w:r>
        <w:rPr>
          <w:i/>
          <w:spacing w:val="-2"/>
          <w:sz w:val="24"/>
        </w:rPr>
        <w:t>Penal provisions</w:t>
      </w:r>
    </w:p>
    <w:p w14:paraId="5E885771" w14:textId="77777777" w:rsidR="00001264" w:rsidRDefault="00167D45">
      <w:pPr>
        <w:pStyle w:val="Brdtekst"/>
        <w:spacing w:before="132"/>
        <w:ind w:left="342"/>
        <w:jc w:val="left"/>
      </w:pPr>
      <w:bookmarkStart w:id="15" w:name="§_8"/>
      <w:bookmarkEnd w:id="15"/>
      <w:r>
        <w:rPr>
          <w:b/>
        </w:rPr>
        <w:t xml:space="preserve">§ 8. </w:t>
      </w:r>
      <w:r>
        <w:t>A fine shall be imposed on a person who:</w:t>
      </w:r>
    </w:p>
    <w:p w14:paraId="2F8F69A9" w14:textId="77777777" w:rsidR="00001264" w:rsidRDefault="00167D45">
      <w:pPr>
        <w:pStyle w:val="Listeafsnit"/>
        <w:numPr>
          <w:ilvl w:val="0"/>
          <w:numId w:val="1"/>
        </w:numPr>
        <w:tabs>
          <w:tab w:val="left" w:pos="542"/>
        </w:tabs>
        <w:ind w:hanging="400"/>
        <w:rPr>
          <w:sz w:val="24"/>
        </w:rPr>
      </w:pPr>
      <w:r>
        <w:rPr>
          <w:sz w:val="24"/>
        </w:rPr>
        <w:t>violates section 3(1)-(4), section 4(1)-(5), section 5 or section 6, or</w:t>
      </w:r>
    </w:p>
    <w:p w14:paraId="2BD5498B" w14:textId="77777777" w:rsidR="00001264" w:rsidRDefault="00167D45">
      <w:pPr>
        <w:pStyle w:val="Listeafsnit"/>
        <w:numPr>
          <w:ilvl w:val="0"/>
          <w:numId w:val="1"/>
        </w:numPr>
        <w:tabs>
          <w:tab w:val="left" w:pos="542"/>
        </w:tabs>
        <w:ind w:hanging="400"/>
        <w:rPr>
          <w:sz w:val="24"/>
        </w:rPr>
      </w:pPr>
      <w:r>
        <w:rPr>
          <w:sz w:val="24"/>
        </w:rPr>
        <w:t>fails to comply with orders pursuant to section 7.</w:t>
      </w:r>
    </w:p>
    <w:p w14:paraId="30732879" w14:textId="77777777" w:rsidR="00001264" w:rsidRDefault="00167D45">
      <w:pPr>
        <w:pStyle w:val="Brdtekst"/>
        <w:spacing w:before="12" w:line="249" w:lineRule="auto"/>
        <w:ind w:left="142" w:firstLine="200"/>
        <w:jc w:val="left"/>
      </w:pPr>
      <w:r>
        <w:rPr>
          <w:i/>
        </w:rPr>
        <w:t xml:space="preserve">(2) </w:t>
      </w:r>
      <w:r>
        <w:t>Criminal liability may be imposed on companies, etc. (legal persons) in accordance with the rules in Chapter 5 of the Danish Criminal Code.</w:t>
      </w:r>
    </w:p>
    <w:p w14:paraId="4CE46EAA" w14:textId="77777777" w:rsidR="00001264" w:rsidRDefault="00167D45">
      <w:pPr>
        <w:spacing w:before="162"/>
        <w:jc w:val="center"/>
        <w:rPr>
          <w:i/>
          <w:spacing w:val="-2"/>
          <w:sz w:val="24"/>
        </w:rPr>
      </w:pPr>
      <w:bookmarkStart w:id="16" w:name="Ikrafttrædelse"/>
      <w:bookmarkEnd w:id="16"/>
      <w:r>
        <w:rPr>
          <w:i/>
          <w:spacing w:val="-2"/>
          <w:sz w:val="24"/>
        </w:rPr>
        <w:t>Entry into force</w:t>
      </w:r>
    </w:p>
    <w:p w14:paraId="3CD63A54" w14:textId="77777777" w:rsidR="00321979" w:rsidRDefault="00321979">
      <w:pPr>
        <w:spacing w:before="162"/>
        <w:jc w:val="center"/>
        <w:rPr>
          <w:i/>
          <w:sz w:val="24"/>
        </w:rPr>
      </w:pPr>
    </w:p>
    <w:p w14:paraId="72765F40" w14:textId="74791C99" w:rsidR="00001264" w:rsidRDefault="00167D45" w:rsidP="00241B98">
      <w:bookmarkStart w:id="17" w:name="§_9"/>
      <w:bookmarkEnd w:id="17"/>
      <w:r>
        <w:rPr>
          <w:b/>
        </w:rPr>
        <w:t xml:space="preserve">§ 9. </w:t>
      </w:r>
      <w:r>
        <w:t xml:space="preserve">The executive order will enter into force on 1 January </w:t>
      </w:r>
      <w:r w:rsidR="00241B98">
        <w:t>2026</w:t>
      </w:r>
      <w:r>
        <w:t>.</w:t>
      </w:r>
    </w:p>
    <w:p w14:paraId="4230FEE1" w14:textId="77777777" w:rsidR="00001264" w:rsidRDefault="00001264">
      <w:pPr>
        <w:pStyle w:val="Brdtekst"/>
        <w:spacing w:before="176"/>
        <w:jc w:val="left"/>
      </w:pPr>
    </w:p>
    <w:p w14:paraId="6CAED57A" w14:textId="6E1CF07A" w:rsidR="00001264" w:rsidRDefault="00167D45">
      <w:pPr>
        <w:jc w:val="center"/>
        <w:rPr>
          <w:i/>
          <w:sz w:val="24"/>
        </w:rPr>
      </w:pPr>
      <w:r>
        <w:rPr>
          <w:i/>
          <w:sz w:val="24"/>
        </w:rPr>
        <w:t>Ministry of Digita</w:t>
      </w:r>
      <w:r w:rsidR="00565480">
        <w:rPr>
          <w:i/>
          <w:sz w:val="24"/>
        </w:rPr>
        <w:t>l Affairs</w:t>
      </w:r>
      <w:r>
        <w:rPr>
          <w:i/>
          <w:sz w:val="24"/>
        </w:rPr>
        <w:t>, 4. June 2025</w:t>
      </w:r>
    </w:p>
    <w:p w14:paraId="0A409E10" w14:textId="77777777" w:rsidR="00001264" w:rsidRDefault="00167D45">
      <w:pPr>
        <w:pStyle w:val="Brdtekst"/>
        <w:spacing w:before="212"/>
        <w:jc w:val="center"/>
      </w:pPr>
      <w:r>
        <w:rPr>
          <w:w w:val="115"/>
        </w:rPr>
        <w:t>Caroline Stage Olsen</w:t>
      </w:r>
    </w:p>
    <w:p w14:paraId="6BFC7F49" w14:textId="77777777" w:rsidR="00001264" w:rsidRDefault="00167D45">
      <w:pPr>
        <w:pStyle w:val="Brdtekst"/>
        <w:spacing w:before="212"/>
        <w:ind w:right="140"/>
        <w:jc w:val="right"/>
      </w:pPr>
      <w:r>
        <w:t>/ Tanja Franck</w:t>
      </w:r>
    </w:p>
    <w:p w14:paraId="02222BD9" w14:textId="77777777" w:rsidR="00001264" w:rsidRDefault="00001264">
      <w:pPr>
        <w:pStyle w:val="Brdtekst"/>
        <w:jc w:val="right"/>
      </w:pPr>
    </w:p>
    <w:p w14:paraId="2D09BC22" w14:textId="77777777" w:rsidR="00241B98" w:rsidRDefault="00241B98">
      <w:pPr>
        <w:pStyle w:val="Brdtekst"/>
        <w:jc w:val="right"/>
      </w:pPr>
    </w:p>
    <w:p w14:paraId="68830BAA" w14:textId="77777777" w:rsidR="00241B98" w:rsidRDefault="00241B98">
      <w:pPr>
        <w:pStyle w:val="Brdtekst"/>
        <w:jc w:val="right"/>
      </w:pPr>
    </w:p>
    <w:p w14:paraId="694A60C2" w14:textId="77777777" w:rsidR="00241B98" w:rsidRDefault="00241B98">
      <w:pPr>
        <w:pStyle w:val="Brdtekst"/>
        <w:jc w:val="right"/>
      </w:pPr>
    </w:p>
    <w:p w14:paraId="69FC8A6D" w14:textId="77777777" w:rsidR="00241B98" w:rsidRDefault="00241B98">
      <w:pPr>
        <w:pStyle w:val="Brdtekst"/>
        <w:jc w:val="right"/>
      </w:pPr>
    </w:p>
    <w:p w14:paraId="6DDB2DCF" w14:textId="77777777" w:rsidR="00241B98" w:rsidRDefault="00241B98">
      <w:pPr>
        <w:pStyle w:val="Brdtekst"/>
        <w:jc w:val="right"/>
      </w:pPr>
    </w:p>
    <w:p w14:paraId="2278BD2C" w14:textId="77777777" w:rsidR="00241B98" w:rsidRDefault="00241B98">
      <w:pPr>
        <w:pStyle w:val="Brdtekst"/>
        <w:jc w:val="right"/>
      </w:pPr>
    </w:p>
    <w:p w14:paraId="066FBAD8" w14:textId="77777777" w:rsidR="00241B98" w:rsidRDefault="00241B98">
      <w:pPr>
        <w:pStyle w:val="Brdtekst"/>
        <w:jc w:val="right"/>
      </w:pPr>
    </w:p>
    <w:p w14:paraId="2DBA6E5B" w14:textId="77777777" w:rsidR="00241B98" w:rsidRDefault="00241B98">
      <w:pPr>
        <w:pStyle w:val="Brdtekst"/>
        <w:jc w:val="right"/>
      </w:pPr>
    </w:p>
    <w:p w14:paraId="7CC18AC3" w14:textId="77777777" w:rsidR="00241B98" w:rsidRDefault="00241B98">
      <w:pPr>
        <w:pStyle w:val="Brdtekst"/>
        <w:jc w:val="right"/>
      </w:pPr>
    </w:p>
    <w:p w14:paraId="27F5495C" w14:textId="77777777" w:rsidR="00241B98" w:rsidRDefault="00241B98" w:rsidP="00241B98">
      <w:pPr>
        <w:spacing w:before="69" w:line="249" w:lineRule="auto"/>
        <w:ind w:left="442" w:right="140" w:hanging="300"/>
        <w:jc w:val="both"/>
        <w:rPr>
          <w:sz w:val="16"/>
        </w:rPr>
      </w:pPr>
      <w:proofErr w:type="gramStart"/>
      <w:r>
        <w:rPr>
          <w:position w:val="4"/>
          <w:sz w:val="12"/>
        </w:rPr>
        <w:t xml:space="preserve">1)  </w:t>
      </w:r>
      <w:r>
        <w:rPr>
          <w:sz w:val="16"/>
        </w:rPr>
        <w:t>The</w:t>
      </w:r>
      <w:proofErr w:type="gramEnd"/>
      <w:r>
        <w:rPr>
          <w:sz w:val="16"/>
        </w:rPr>
        <w:t xml:space="preserve"> Executive Order implements parts of Directive (EU) 2022/2555 of the European Parliament and of the Council of 14 December 2022 concerning measures for a high common level of cybersecurity across the Union, amending Regulation (EU) No 910/2014 and Directive (EU) 2018/1972 and repealing Directive (EU) 2016/1148 (NIS 2 Directive), Official Journal 2022, No L 333, page 80.</w:t>
      </w:r>
    </w:p>
    <w:sectPr w:rsidR="00241B98">
      <w:pgSz w:w="11910" w:h="16840"/>
      <w:pgMar w:top="1320" w:right="708" w:bottom="840" w:left="708"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A90B" w14:textId="77777777" w:rsidR="00167D45" w:rsidRDefault="00167D45">
      <w:r>
        <w:separator/>
      </w:r>
    </w:p>
  </w:endnote>
  <w:endnote w:type="continuationSeparator" w:id="0">
    <w:p w14:paraId="717C87A6" w14:textId="77777777" w:rsidR="00167D45" w:rsidRDefault="0016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0826" w14:textId="77777777" w:rsidR="00001264" w:rsidRDefault="00167D45">
    <w:pPr>
      <w:pStyle w:val="Brdtekst"/>
      <w:spacing w:line="14" w:lineRule="auto"/>
      <w:jc w:val="left"/>
      <w:rPr>
        <w:sz w:val="20"/>
      </w:rPr>
    </w:pPr>
    <w:r>
      <w:rPr>
        <w:noProof/>
        <w:sz w:val="20"/>
      </w:rPr>
      <mc:AlternateContent>
        <mc:Choice Requires="wps">
          <w:drawing>
            <wp:anchor distT="0" distB="0" distL="0" distR="0" simplePos="0" relativeHeight="487505408" behindDoc="1" locked="0" layoutInCell="1" allowOverlap="1" wp14:anchorId="0E7A479C" wp14:editId="0419E885">
              <wp:simplePos x="0" y="0"/>
              <wp:positionH relativeFrom="page">
                <wp:posOffset>527299</wp:posOffset>
              </wp:positionH>
              <wp:positionV relativeFrom="page">
                <wp:posOffset>10138357</wp:posOffset>
              </wp:positionV>
              <wp:extent cx="137985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855" cy="166370"/>
                      </a:xfrm>
                      <a:prstGeom prst="rect">
                        <a:avLst/>
                      </a:prstGeom>
                    </wps:spPr>
                    <wps:txbx>
                      <w:txbxContent>
                        <w:p w14:paraId="7BE5A2BD" w14:textId="77777777" w:rsidR="00001264" w:rsidRDefault="00167D45">
                          <w:pPr>
                            <w:spacing w:before="11"/>
                            <w:ind w:left="20"/>
                            <w:rPr>
                              <w:sz w:val="20"/>
                            </w:rPr>
                          </w:pPr>
                          <w:r>
                            <w:rPr>
                              <w:sz w:val="20"/>
                            </w:rPr>
                            <w:t>BEK nr 653 of 04/06/2025</w:t>
                          </w:r>
                        </w:p>
                      </w:txbxContent>
                    </wps:txbx>
                    <wps:bodyPr wrap="square" lIns="0" tIns="0" rIns="0" bIns="0" rtlCol="0">
                      <a:noAutofit/>
                    </wps:bodyPr>
                  </wps:wsp>
                </a:graphicData>
              </a:graphic>
            </wp:anchor>
          </w:drawing>
        </mc:Choice>
        <mc:Fallback>
          <w:pict>
            <v:shapetype w14:anchorId="0E7A479C" id="_x0000_t202" coordsize="21600,21600" o:spt="202" path="m,l,21600r21600,l21600,xe">
              <v:stroke joinstyle="miter"/>
              <v:path gradientshapeok="t" o:connecttype="rect"/>
            </v:shapetype>
            <v:shape id="Textbox 6" o:spid="_x0000_s1028" type="#_x0000_t202" style="position:absolute;margin-left:41.5pt;margin-top:798.3pt;width:108.65pt;height:13.1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" filled="f" stroked="f">
              <v:textbox inset="0,0,0,0">
                <w:txbxContent>
                  <w:p w14:paraId="7BE5A2BD" w14:textId="77777777" w:rsidR="00001264" w:rsidRDefault="00167D45">
                    <w:pPr>
                      <w:spacing w:before="11"/>
                      <w:ind w:left="20"/>
                      <w:rPr>
                        <w:sz w:val="20"/>
                      </w:rPr>
                    </w:pPr>
                    <w:r>
                      <w:rPr>
                        <w:sz w:val="20"/>
                      </w:rPr>
                      <w:t>BEK nr 653 of 04/06/2025</w:t>
                    </w:r>
                  </w:p>
                </w:txbxContent>
              </v:textbox>
              <w10:wrap anchorx="page" anchory="page"/>
            </v:shape>
          </w:pict>
        </mc:Fallback>
      </mc:AlternateContent>
    </w:r>
    <w:r>
      <w:rPr>
        <w:noProof/>
        <w:sz w:val="20"/>
      </w:rPr>
      <mc:AlternateContent>
        <mc:Choice Requires="wps">
          <w:drawing>
            <wp:anchor distT="0" distB="0" distL="0" distR="0" simplePos="0" relativeHeight="487505920" behindDoc="1" locked="0" layoutInCell="1" allowOverlap="1" wp14:anchorId="70F9D64F" wp14:editId="3B9F840B">
              <wp:simplePos x="0" y="0"/>
              <wp:positionH relativeFrom="page">
                <wp:posOffset>3710104</wp:posOffset>
              </wp:positionH>
              <wp:positionV relativeFrom="page">
                <wp:posOffset>10138357</wp:posOffset>
              </wp:positionV>
              <wp:extent cx="152400"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47AABE65" w14:textId="77777777" w:rsidR="00001264" w:rsidRDefault="00167D45">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70F9D64F" id="Textbox 7" o:spid="_x0000_s1029" type="#_x0000_t202" style="position:absolute;margin-left:292.15pt;margin-top:798.3pt;width:12pt;height:13.1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" filled="f" stroked="f">
              <v:textbox inset="0,0,0,0">
                <w:txbxContent>
                  <w:p w14:paraId="47AABE65" w14:textId="77777777" w:rsidR="00001264" w:rsidRDefault="00167D45">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6D44" w14:textId="77777777" w:rsidR="00167D45" w:rsidRDefault="00167D45">
      <w:r>
        <w:separator/>
      </w:r>
    </w:p>
  </w:footnote>
  <w:footnote w:type="continuationSeparator" w:id="0">
    <w:p w14:paraId="0180F1FA" w14:textId="77777777" w:rsidR="00167D45" w:rsidRDefault="00167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43736"/>
    <w:multiLevelType w:val="hybridMultilevel"/>
    <w:tmpl w:val="AA726DC0"/>
    <w:lvl w:ilvl="0" w:tplc="CFE03BAA">
      <w:start w:val="1"/>
      <w:numFmt w:val="decimal"/>
      <w:lvlText w:val="%1)"/>
      <w:lvlJc w:val="left"/>
      <w:pPr>
        <w:ind w:left="542" w:hanging="4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888C7EE">
      <w:numFmt w:val="bullet"/>
      <w:lvlText w:val="•"/>
      <w:lvlJc w:val="left"/>
      <w:pPr>
        <w:ind w:left="1534" w:hanging="400"/>
      </w:pPr>
      <w:rPr>
        <w:rFonts w:hint="default"/>
        <w:lang w:eastAsia="en-US" w:bidi="ar-SA"/>
      </w:rPr>
    </w:lvl>
    <w:lvl w:ilvl="2" w:tplc="8EFE31C0">
      <w:numFmt w:val="bullet"/>
      <w:lvlText w:val="•"/>
      <w:lvlJc w:val="left"/>
      <w:pPr>
        <w:ind w:left="2529" w:hanging="400"/>
      </w:pPr>
      <w:rPr>
        <w:rFonts w:hint="default"/>
        <w:lang w:eastAsia="en-US" w:bidi="ar-SA"/>
      </w:rPr>
    </w:lvl>
    <w:lvl w:ilvl="3" w:tplc="11B83CAA">
      <w:numFmt w:val="bullet"/>
      <w:lvlText w:val="•"/>
      <w:lvlJc w:val="left"/>
      <w:pPr>
        <w:ind w:left="3524" w:hanging="400"/>
      </w:pPr>
      <w:rPr>
        <w:rFonts w:hint="default"/>
        <w:lang w:eastAsia="en-US" w:bidi="ar-SA"/>
      </w:rPr>
    </w:lvl>
    <w:lvl w:ilvl="4" w:tplc="9B96779C">
      <w:numFmt w:val="bullet"/>
      <w:lvlText w:val="•"/>
      <w:lvlJc w:val="left"/>
      <w:pPr>
        <w:ind w:left="4519" w:hanging="400"/>
      </w:pPr>
      <w:rPr>
        <w:rFonts w:hint="default"/>
        <w:lang w:eastAsia="en-US" w:bidi="ar-SA"/>
      </w:rPr>
    </w:lvl>
    <w:lvl w:ilvl="5" w:tplc="29B0C94A">
      <w:numFmt w:val="bullet"/>
      <w:lvlText w:val="•"/>
      <w:lvlJc w:val="left"/>
      <w:pPr>
        <w:ind w:left="5514" w:hanging="400"/>
      </w:pPr>
      <w:rPr>
        <w:rFonts w:hint="default"/>
        <w:lang w:eastAsia="en-US" w:bidi="ar-SA"/>
      </w:rPr>
    </w:lvl>
    <w:lvl w:ilvl="6" w:tplc="C34E2680">
      <w:numFmt w:val="bullet"/>
      <w:lvlText w:val="•"/>
      <w:lvlJc w:val="left"/>
      <w:pPr>
        <w:ind w:left="6509" w:hanging="400"/>
      </w:pPr>
      <w:rPr>
        <w:rFonts w:hint="default"/>
        <w:lang w:eastAsia="en-US" w:bidi="ar-SA"/>
      </w:rPr>
    </w:lvl>
    <w:lvl w:ilvl="7" w:tplc="67547A1A">
      <w:numFmt w:val="bullet"/>
      <w:lvlText w:val="•"/>
      <w:lvlJc w:val="left"/>
      <w:pPr>
        <w:ind w:left="7504" w:hanging="400"/>
      </w:pPr>
      <w:rPr>
        <w:rFonts w:hint="default"/>
        <w:lang w:eastAsia="en-US" w:bidi="ar-SA"/>
      </w:rPr>
    </w:lvl>
    <w:lvl w:ilvl="8" w:tplc="C3D65E40">
      <w:numFmt w:val="bullet"/>
      <w:lvlText w:val="•"/>
      <w:lvlJc w:val="left"/>
      <w:pPr>
        <w:ind w:left="8499" w:hanging="400"/>
      </w:pPr>
      <w:rPr>
        <w:rFonts w:hint="default"/>
        <w:lang w:eastAsia="en-US" w:bidi="ar-SA"/>
      </w:rPr>
    </w:lvl>
  </w:abstractNum>
  <w:abstractNum w:abstractNumId="1" w15:restartNumberingAfterBreak="0">
    <w:nsid w:val="40344527"/>
    <w:multiLevelType w:val="hybridMultilevel"/>
    <w:tmpl w:val="650AB95C"/>
    <w:lvl w:ilvl="0" w:tplc="A06E234C">
      <w:start w:val="1"/>
      <w:numFmt w:val="decimal"/>
      <w:lvlText w:val="%1)"/>
      <w:lvlJc w:val="left"/>
      <w:pPr>
        <w:ind w:left="542" w:hanging="4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A982CCE">
      <w:numFmt w:val="bullet"/>
      <w:lvlText w:val="•"/>
      <w:lvlJc w:val="left"/>
      <w:pPr>
        <w:ind w:left="1534" w:hanging="400"/>
      </w:pPr>
      <w:rPr>
        <w:rFonts w:hint="default"/>
        <w:lang w:eastAsia="en-US" w:bidi="ar-SA"/>
      </w:rPr>
    </w:lvl>
    <w:lvl w:ilvl="2" w:tplc="5372C1CC">
      <w:numFmt w:val="bullet"/>
      <w:lvlText w:val="•"/>
      <w:lvlJc w:val="left"/>
      <w:pPr>
        <w:ind w:left="2529" w:hanging="400"/>
      </w:pPr>
      <w:rPr>
        <w:rFonts w:hint="default"/>
        <w:lang w:eastAsia="en-US" w:bidi="ar-SA"/>
      </w:rPr>
    </w:lvl>
    <w:lvl w:ilvl="3" w:tplc="5C98A4E8">
      <w:numFmt w:val="bullet"/>
      <w:lvlText w:val="•"/>
      <w:lvlJc w:val="left"/>
      <w:pPr>
        <w:ind w:left="3524" w:hanging="400"/>
      </w:pPr>
      <w:rPr>
        <w:rFonts w:hint="default"/>
        <w:lang w:eastAsia="en-US" w:bidi="ar-SA"/>
      </w:rPr>
    </w:lvl>
    <w:lvl w:ilvl="4" w:tplc="EB6E78E2">
      <w:numFmt w:val="bullet"/>
      <w:lvlText w:val="•"/>
      <w:lvlJc w:val="left"/>
      <w:pPr>
        <w:ind w:left="4519" w:hanging="400"/>
      </w:pPr>
      <w:rPr>
        <w:rFonts w:hint="default"/>
        <w:lang w:eastAsia="en-US" w:bidi="ar-SA"/>
      </w:rPr>
    </w:lvl>
    <w:lvl w:ilvl="5" w:tplc="0FCA0AF4">
      <w:numFmt w:val="bullet"/>
      <w:lvlText w:val="•"/>
      <w:lvlJc w:val="left"/>
      <w:pPr>
        <w:ind w:left="5514" w:hanging="400"/>
      </w:pPr>
      <w:rPr>
        <w:rFonts w:hint="default"/>
        <w:lang w:eastAsia="en-US" w:bidi="ar-SA"/>
      </w:rPr>
    </w:lvl>
    <w:lvl w:ilvl="6" w:tplc="B264407A">
      <w:numFmt w:val="bullet"/>
      <w:lvlText w:val="•"/>
      <w:lvlJc w:val="left"/>
      <w:pPr>
        <w:ind w:left="6509" w:hanging="400"/>
      </w:pPr>
      <w:rPr>
        <w:rFonts w:hint="default"/>
        <w:lang w:eastAsia="en-US" w:bidi="ar-SA"/>
      </w:rPr>
    </w:lvl>
    <w:lvl w:ilvl="7" w:tplc="DD70B690">
      <w:numFmt w:val="bullet"/>
      <w:lvlText w:val="•"/>
      <w:lvlJc w:val="left"/>
      <w:pPr>
        <w:ind w:left="7504" w:hanging="400"/>
      </w:pPr>
      <w:rPr>
        <w:rFonts w:hint="default"/>
        <w:lang w:eastAsia="en-US" w:bidi="ar-SA"/>
      </w:rPr>
    </w:lvl>
    <w:lvl w:ilvl="8" w:tplc="687CF0AC">
      <w:numFmt w:val="bullet"/>
      <w:lvlText w:val="•"/>
      <w:lvlJc w:val="left"/>
      <w:pPr>
        <w:ind w:left="8499" w:hanging="400"/>
      </w:pPr>
      <w:rPr>
        <w:rFonts w:hint="default"/>
        <w:lang w:eastAsia="en-US" w:bidi="ar-SA"/>
      </w:rPr>
    </w:lvl>
  </w:abstractNum>
  <w:abstractNum w:abstractNumId="2" w15:restartNumberingAfterBreak="0">
    <w:nsid w:val="412970B2"/>
    <w:multiLevelType w:val="hybridMultilevel"/>
    <w:tmpl w:val="606EF6D2"/>
    <w:lvl w:ilvl="0" w:tplc="83502C0E">
      <w:start w:val="1"/>
      <w:numFmt w:val="decimal"/>
      <w:lvlText w:val="%1)"/>
      <w:lvlJc w:val="left"/>
      <w:pPr>
        <w:ind w:left="542"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C9ADD7C">
      <w:numFmt w:val="bullet"/>
      <w:lvlText w:val="•"/>
      <w:lvlJc w:val="left"/>
      <w:pPr>
        <w:ind w:left="1534" w:hanging="401"/>
      </w:pPr>
      <w:rPr>
        <w:rFonts w:hint="default"/>
        <w:lang w:eastAsia="en-US" w:bidi="ar-SA"/>
      </w:rPr>
    </w:lvl>
    <w:lvl w:ilvl="2" w:tplc="6F5A5054">
      <w:numFmt w:val="bullet"/>
      <w:lvlText w:val="•"/>
      <w:lvlJc w:val="left"/>
      <w:pPr>
        <w:ind w:left="2529" w:hanging="401"/>
      </w:pPr>
      <w:rPr>
        <w:rFonts w:hint="default"/>
        <w:lang w:eastAsia="en-US" w:bidi="ar-SA"/>
      </w:rPr>
    </w:lvl>
    <w:lvl w:ilvl="3" w:tplc="2C8C4578">
      <w:numFmt w:val="bullet"/>
      <w:lvlText w:val="•"/>
      <w:lvlJc w:val="left"/>
      <w:pPr>
        <w:ind w:left="3524" w:hanging="401"/>
      </w:pPr>
      <w:rPr>
        <w:rFonts w:hint="default"/>
        <w:lang w:eastAsia="en-US" w:bidi="ar-SA"/>
      </w:rPr>
    </w:lvl>
    <w:lvl w:ilvl="4" w:tplc="6B3C3988">
      <w:numFmt w:val="bullet"/>
      <w:lvlText w:val="•"/>
      <w:lvlJc w:val="left"/>
      <w:pPr>
        <w:ind w:left="4519" w:hanging="401"/>
      </w:pPr>
      <w:rPr>
        <w:rFonts w:hint="default"/>
        <w:lang w:eastAsia="en-US" w:bidi="ar-SA"/>
      </w:rPr>
    </w:lvl>
    <w:lvl w:ilvl="5" w:tplc="6D6C3DAA">
      <w:numFmt w:val="bullet"/>
      <w:lvlText w:val="•"/>
      <w:lvlJc w:val="left"/>
      <w:pPr>
        <w:ind w:left="5514" w:hanging="401"/>
      </w:pPr>
      <w:rPr>
        <w:rFonts w:hint="default"/>
        <w:lang w:eastAsia="en-US" w:bidi="ar-SA"/>
      </w:rPr>
    </w:lvl>
    <w:lvl w:ilvl="6" w:tplc="348898DA">
      <w:numFmt w:val="bullet"/>
      <w:lvlText w:val="•"/>
      <w:lvlJc w:val="left"/>
      <w:pPr>
        <w:ind w:left="6509" w:hanging="401"/>
      </w:pPr>
      <w:rPr>
        <w:rFonts w:hint="default"/>
        <w:lang w:eastAsia="en-US" w:bidi="ar-SA"/>
      </w:rPr>
    </w:lvl>
    <w:lvl w:ilvl="7" w:tplc="8C447798">
      <w:numFmt w:val="bullet"/>
      <w:lvlText w:val="•"/>
      <w:lvlJc w:val="left"/>
      <w:pPr>
        <w:ind w:left="7504" w:hanging="401"/>
      </w:pPr>
      <w:rPr>
        <w:rFonts w:hint="default"/>
        <w:lang w:eastAsia="en-US" w:bidi="ar-SA"/>
      </w:rPr>
    </w:lvl>
    <w:lvl w:ilvl="8" w:tplc="75F0F55A">
      <w:numFmt w:val="bullet"/>
      <w:lvlText w:val="•"/>
      <w:lvlJc w:val="left"/>
      <w:pPr>
        <w:ind w:left="8499" w:hanging="401"/>
      </w:pPr>
      <w:rPr>
        <w:rFonts w:hint="default"/>
        <w:lang w:eastAsia="en-US" w:bidi="ar-SA"/>
      </w:rPr>
    </w:lvl>
  </w:abstractNum>
  <w:abstractNum w:abstractNumId="3" w15:restartNumberingAfterBreak="0">
    <w:nsid w:val="62D14026"/>
    <w:multiLevelType w:val="hybridMultilevel"/>
    <w:tmpl w:val="6E923FE2"/>
    <w:lvl w:ilvl="0" w:tplc="1A8264D8">
      <w:start w:val="1"/>
      <w:numFmt w:val="decimal"/>
      <w:lvlText w:val="%1)"/>
      <w:lvlJc w:val="left"/>
      <w:pPr>
        <w:ind w:left="542"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B04BED2">
      <w:numFmt w:val="bullet"/>
      <w:lvlText w:val="•"/>
      <w:lvlJc w:val="left"/>
      <w:pPr>
        <w:ind w:left="1534" w:hanging="401"/>
      </w:pPr>
      <w:rPr>
        <w:rFonts w:hint="default"/>
        <w:lang w:eastAsia="en-US" w:bidi="ar-SA"/>
      </w:rPr>
    </w:lvl>
    <w:lvl w:ilvl="2" w:tplc="24EE4770">
      <w:numFmt w:val="bullet"/>
      <w:lvlText w:val="•"/>
      <w:lvlJc w:val="left"/>
      <w:pPr>
        <w:ind w:left="2529" w:hanging="401"/>
      </w:pPr>
      <w:rPr>
        <w:rFonts w:hint="default"/>
        <w:lang w:eastAsia="en-US" w:bidi="ar-SA"/>
      </w:rPr>
    </w:lvl>
    <w:lvl w:ilvl="3" w:tplc="0616D838">
      <w:numFmt w:val="bullet"/>
      <w:lvlText w:val="•"/>
      <w:lvlJc w:val="left"/>
      <w:pPr>
        <w:ind w:left="3524" w:hanging="401"/>
      </w:pPr>
      <w:rPr>
        <w:rFonts w:hint="default"/>
        <w:lang w:eastAsia="en-US" w:bidi="ar-SA"/>
      </w:rPr>
    </w:lvl>
    <w:lvl w:ilvl="4" w:tplc="70AC0548">
      <w:numFmt w:val="bullet"/>
      <w:lvlText w:val="•"/>
      <w:lvlJc w:val="left"/>
      <w:pPr>
        <w:ind w:left="4519" w:hanging="401"/>
      </w:pPr>
      <w:rPr>
        <w:rFonts w:hint="default"/>
        <w:lang w:eastAsia="en-US" w:bidi="ar-SA"/>
      </w:rPr>
    </w:lvl>
    <w:lvl w:ilvl="5" w:tplc="1C484ECE">
      <w:numFmt w:val="bullet"/>
      <w:lvlText w:val="•"/>
      <w:lvlJc w:val="left"/>
      <w:pPr>
        <w:ind w:left="5514" w:hanging="401"/>
      </w:pPr>
      <w:rPr>
        <w:rFonts w:hint="default"/>
        <w:lang w:eastAsia="en-US" w:bidi="ar-SA"/>
      </w:rPr>
    </w:lvl>
    <w:lvl w:ilvl="6" w:tplc="8F94A5AA">
      <w:numFmt w:val="bullet"/>
      <w:lvlText w:val="•"/>
      <w:lvlJc w:val="left"/>
      <w:pPr>
        <w:ind w:left="6509" w:hanging="401"/>
      </w:pPr>
      <w:rPr>
        <w:rFonts w:hint="default"/>
        <w:lang w:eastAsia="en-US" w:bidi="ar-SA"/>
      </w:rPr>
    </w:lvl>
    <w:lvl w:ilvl="7" w:tplc="D46CD7BC">
      <w:numFmt w:val="bullet"/>
      <w:lvlText w:val="•"/>
      <w:lvlJc w:val="left"/>
      <w:pPr>
        <w:ind w:left="7504" w:hanging="401"/>
      </w:pPr>
      <w:rPr>
        <w:rFonts w:hint="default"/>
        <w:lang w:eastAsia="en-US" w:bidi="ar-SA"/>
      </w:rPr>
    </w:lvl>
    <w:lvl w:ilvl="8" w:tplc="CEBC7B02">
      <w:numFmt w:val="bullet"/>
      <w:lvlText w:val="•"/>
      <w:lvlJc w:val="left"/>
      <w:pPr>
        <w:ind w:left="8499" w:hanging="401"/>
      </w:pPr>
      <w:rPr>
        <w:rFonts w:hint="default"/>
        <w:lang w:eastAsia="en-US" w:bidi="ar-SA"/>
      </w:rPr>
    </w:lvl>
  </w:abstractNum>
  <w:abstractNum w:abstractNumId="4" w15:restartNumberingAfterBreak="0">
    <w:nsid w:val="762B0FD8"/>
    <w:multiLevelType w:val="hybridMultilevel"/>
    <w:tmpl w:val="1C2C4938"/>
    <w:lvl w:ilvl="0" w:tplc="3AAC5CBE">
      <w:start w:val="1"/>
      <w:numFmt w:val="decimal"/>
      <w:lvlText w:val="%1)"/>
      <w:lvlJc w:val="left"/>
      <w:pPr>
        <w:ind w:left="542"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252D9B2">
      <w:numFmt w:val="bullet"/>
      <w:lvlText w:val="•"/>
      <w:lvlJc w:val="left"/>
      <w:pPr>
        <w:ind w:left="1534" w:hanging="401"/>
      </w:pPr>
      <w:rPr>
        <w:rFonts w:hint="default"/>
        <w:lang w:eastAsia="en-US" w:bidi="ar-SA"/>
      </w:rPr>
    </w:lvl>
    <w:lvl w:ilvl="2" w:tplc="3582413C">
      <w:numFmt w:val="bullet"/>
      <w:lvlText w:val="•"/>
      <w:lvlJc w:val="left"/>
      <w:pPr>
        <w:ind w:left="2529" w:hanging="401"/>
      </w:pPr>
      <w:rPr>
        <w:rFonts w:hint="default"/>
        <w:lang w:eastAsia="en-US" w:bidi="ar-SA"/>
      </w:rPr>
    </w:lvl>
    <w:lvl w:ilvl="3" w:tplc="2C74CDD0">
      <w:numFmt w:val="bullet"/>
      <w:lvlText w:val="•"/>
      <w:lvlJc w:val="left"/>
      <w:pPr>
        <w:ind w:left="3524" w:hanging="401"/>
      </w:pPr>
      <w:rPr>
        <w:rFonts w:hint="default"/>
        <w:lang w:eastAsia="en-US" w:bidi="ar-SA"/>
      </w:rPr>
    </w:lvl>
    <w:lvl w:ilvl="4" w:tplc="613002AE">
      <w:numFmt w:val="bullet"/>
      <w:lvlText w:val="•"/>
      <w:lvlJc w:val="left"/>
      <w:pPr>
        <w:ind w:left="4519" w:hanging="401"/>
      </w:pPr>
      <w:rPr>
        <w:rFonts w:hint="default"/>
        <w:lang w:eastAsia="en-US" w:bidi="ar-SA"/>
      </w:rPr>
    </w:lvl>
    <w:lvl w:ilvl="5" w:tplc="39886B28">
      <w:numFmt w:val="bullet"/>
      <w:lvlText w:val="•"/>
      <w:lvlJc w:val="left"/>
      <w:pPr>
        <w:ind w:left="5514" w:hanging="401"/>
      </w:pPr>
      <w:rPr>
        <w:rFonts w:hint="default"/>
        <w:lang w:eastAsia="en-US" w:bidi="ar-SA"/>
      </w:rPr>
    </w:lvl>
    <w:lvl w:ilvl="6" w:tplc="7E54ECFA">
      <w:numFmt w:val="bullet"/>
      <w:lvlText w:val="•"/>
      <w:lvlJc w:val="left"/>
      <w:pPr>
        <w:ind w:left="6509" w:hanging="401"/>
      </w:pPr>
      <w:rPr>
        <w:rFonts w:hint="default"/>
        <w:lang w:eastAsia="en-US" w:bidi="ar-SA"/>
      </w:rPr>
    </w:lvl>
    <w:lvl w:ilvl="7" w:tplc="E39EC348">
      <w:numFmt w:val="bullet"/>
      <w:lvlText w:val="•"/>
      <w:lvlJc w:val="left"/>
      <w:pPr>
        <w:ind w:left="7504" w:hanging="401"/>
      </w:pPr>
      <w:rPr>
        <w:rFonts w:hint="default"/>
        <w:lang w:eastAsia="en-US" w:bidi="ar-SA"/>
      </w:rPr>
    </w:lvl>
    <w:lvl w:ilvl="8" w:tplc="23F024A6">
      <w:numFmt w:val="bullet"/>
      <w:lvlText w:val="•"/>
      <w:lvlJc w:val="left"/>
      <w:pPr>
        <w:ind w:left="8499" w:hanging="401"/>
      </w:pPr>
      <w:rPr>
        <w:rFonts w:hint="default"/>
        <w:lang w:eastAsia="en-US" w:bidi="ar-SA"/>
      </w:rPr>
    </w:lvl>
  </w:abstractNum>
  <w:num w:numId="1" w16cid:durableId="1658652994">
    <w:abstractNumId w:val="2"/>
  </w:num>
  <w:num w:numId="2" w16cid:durableId="127283856">
    <w:abstractNumId w:val="0"/>
  </w:num>
  <w:num w:numId="3" w16cid:durableId="2126000426">
    <w:abstractNumId w:val="4"/>
  </w:num>
  <w:num w:numId="4" w16cid:durableId="790787265">
    <w:abstractNumId w:val="3"/>
  </w:num>
  <w:num w:numId="5" w16cid:durableId="1244290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64"/>
    <w:rsid w:val="00001264"/>
    <w:rsid w:val="00146F30"/>
    <w:rsid w:val="00167D45"/>
    <w:rsid w:val="001709D6"/>
    <w:rsid w:val="001B02DF"/>
    <w:rsid w:val="001E6014"/>
    <w:rsid w:val="00241B98"/>
    <w:rsid w:val="002B6BF1"/>
    <w:rsid w:val="00321979"/>
    <w:rsid w:val="00383A3A"/>
    <w:rsid w:val="004C3CEC"/>
    <w:rsid w:val="00565480"/>
    <w:rsid w:val="00632AF6"/>
    <w:rsid w:val="00AE548D"/>
    <w:rsid w:val="00BE5452"/>
    <w:rsid w:val="00BF0053"/>
    <w:rsid w:val="00C8098E"/>
    <w:rsid w:val="00C950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6420"/>
  <w15:docId w15:val="{4B62CFAD-E20E-4DAC-94E8-A914939D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jc w:val="both"/>
    </w:pPr>
    <w:rPr>
      <w:sz w:val="24"/>
      <w:szCs w:val="24"/>
    </w:rPr>
  </w:style>
  <w:style w:type="paragraph" w:styleId="Titel">
    <w:name w:val="Title"/>
    <w:basedOn w:val="Normal"/>
    <w:uiPriority w:val="10"/>
    <w:qFormat/>
    <w:pPr>
      <w:spacing w:before="251"/>
      <w:ind w:left="39"/>
    </w:pPr>
    <w:rPr>
      <w:b/>
      <w:bCs/>
      <w:sz w:val="35"/>
      <w:szCs w:val="35"/>
    </w:rPr>
  </w:style>
  <w:style w:type="paragraph" w:styleId="Listeafsnit">
    <w:name w:val="List Paragraph"/>
    <w:basedOn w:val="Normal"/>
    <w:uiPriority w:val="1"/>
    <w:qFormat/>
    <w:pPr>
      <w:spacing w:before="12"/>
      <w:ind w:left="542" w:hanging="400"/>
      <w:jc w:val="both"/>
    </w:pPr>
  </w:style>
  <w:style w:type="paragraph" w:customStyle="1" w:styleId="TableParagraph">
    <w:name w:val="Table Paragraph"/>
    <w:basedOn w:val="Normal"/>
    <w:uiPriority w:val="1"/>
    <w:qFormat/>
  </w:style>
  <w:style w:type="character" w:styleId="Pladsholdertekst">
    <w:name w:val="Placeholder Text"/>
    <w:basedOn w:val="Standardskrifttypeiafsnit"/>
    <w:uiPriority w:val="99"/>
    <w:semiHidden/>
    <w:rsid w:val="00BE54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1339</Words>
  <Characters>8170</Characters>
  <Application>Microsoft Office Word</Application>
  <DocSecurity>4</DocSecurity>
  <Lines>68</Lines>
  <Paragraphs>18</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Order on Validation, Verification and Disclosure of Domain Name Registration Data</dc:title>
  <dc:subject>Retsinformation</dc:subject>
  <dc:creator>Civilstyrelsen</dc:creator>
  <cp:lastModifiedBy>Charlotte Stausholm</cp:lastModifiedBy>
  <cp:revision>2</cp:revision>
  <dcterms:created xsi:type="dcterms:W3CDTF">2025-06-25T11:28:00Z</dcterms:created>
  <dcterms:modified xsi:type="dcterms:W3CDTF">2025-06-25T11:28:00Z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AH Formatter V7.0 MR3 for Windows (x64) : 7.0.4.45923 (2020-07-14T10:31+09)</vt:lpwstr>
  </property>
  <property fmtid="{D5CDD505-2E9C-101B-9397-08002B2CF9AE}" pid="4" name="LastSaved">
    <vt:filetime>2025-06-24T00:00:00Z</vt:filetime>
  </property>
  <property fmtid="{D5CDD505-2E9C-101B-9397-08002B2CF9AE}" pid="5" name="Producer">
    <vt:lpwstr>PDFsharp 1.50.4000-netstandard (https://github.com/ststeiger/PdfSharpCore) (Original: Antenna House PDF Output Library 7.0.1600)</vt:lpwstr>
  </property>
</Properties>
</file>